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3E9D3" w14:textId="04BFEF44" w:rsidR="00FF24DD" w:rsidRPr="00330D57" w:rsidRDefault="000147A8" w:rsidP="00110CA9">
      <w:pPr>
        <w:spacing w:after="120" w:line="240" w:lineRule="auto"/>
        <w:contextualSpacing/>
        <w:jc w:val="center"/>
        <w:rPr>
          <w:rFonts w:ascii="Franklin Gothic Book" w:hAnsi="Franklin Gothic Book" w:cs="Arial"/>
          <w:b/>
          <w:sz w:val="32"/>
        </w:rPr>
      </w:pPr>
      <w:r>
        <w:rPr>
          <w:rFonts w:ascii="Franklin Gothic Book" w:hAnsi="Franklin Gothic Book" w:cs="Arial"/>
          <w:b/>
          <w:sz w:val="32"/>
        </w:rPr>
        <w:t xml:space="preserve"> </w:t>
      </w:r>
      <w:r w:rsidR="003872B7" w:rsidRPr="00330D57">
        <w:rPr>
          <w:rFonts w:ascii="Franklin Gothic Book" w:hAnsi="Franklin Gothic Book" w:cs="Arial"/>
          <w:b/>
          <w:sz w:val="32"/>
        </w:rPr>
        <w:t>Idaho Department of Health and Welfare</w:t>
      </w:r>
    </w:p>
    <w:p w14:paraId="6BEDD296" w14:textId="3917B493" w:rsidR="00FF24DD" w:rsidRPr="00330D57" w:rsidRDefault="00401331" w:rsidP="00110CA9">
      <w:pPr>
        <w:spacing w:after="120" w:line="240" w:lineRule="auto"/>
        <w:contextualSpacing/>
        <w:jc w:val="center"/>
        <w:rPr>
          <w:rFonts w:ascii="Franklin Gothic Book" w:hAnsi="Franklin Gothic Book" w:cs="Arial"/>
          <w:b/>
          <w:sz w:val="24"/>
          <w:szCs w:val="24"/>
        </w:rPr>
      </w:pPr>
      <w:r w:rsidRPr="00330D57">
        <w:rPr>
          <w:rFonts w:ascii="Franklin Gothic Book" w:hAnsi="Franklin Gothic Book" w:cs="Arial"/>
          <w:b/>
          <w:sz w:val="24"/>
          <w:szCs w:val="24"/>
        </w:rPr>
        <w:t xml:space="preserve">DRG </w:t>
      </w:r>
      <w:r w:rsidR="00FF24DD" w:rsidRPr="00330D57">
        <w:rPr>
          <w:rFonts w:ascii="Franklin Gothic Book" w:hAnsi="Franklin Gothic Book" w:cs="Arial"/>
          <w:b/>
          <w:sz w:val="24"/>
          <w:szCs w:val="24"/>
        </w:rPr>
        <w:t>Payment Methodology for Inpatient Hospital Services</w:t>
      </w:r>
    </w:p>
    <w:p w14:paraId="6A886FB9" w14:textId="220F7045" w:rsidR="003872B7" w:rsidRPr="00330D57" w:rsidRDefault="00FF24DD" w:rsidP="00110CA9">
      <w:pPr>
        <w:spacing w:after="120" w:line="240" w:lineRule="auto"/>
        <w:contextualSpacing/>
        <w:jc w:val="center"/>
        <w:rPr>
          <w:rFonts w:ascii="Franklin Gothic Book" w:hAnsi="Franklin Gothic Book" w:cs="Arial"/>
          <w:b/>
          <w:sz w:val="24"/>
          <w:szCs w:val="24"/>
        </w:rPr>
      </w:pPr>
      <w:r w:rsidRPr="00330D57">
        <w:rPr>
          <w:rFonts w:ascii="Franklin Gothic Book" w:hAnsi="Franklin Gothic Book" w:cs="Arial"/>
          <w:b/>
          <w:sz w:val="24"/>
          <w:szCs w:val="24"/>
        </w:rPr>
        <w:t>Frequently Asked Questions</w:t>
      </w:r>
    </w:p>
    <w:p w14:paraId="0F330A64" w14:textId="53BCD1E2" w:rsidR="003872B7" w:rsidRDefault="003872B7" w:rsidP="00110CA9">
      <w:pPr>
        <w:spacing w:after="120" w:line="240" w:lineRule="auto"/>
        <w:contextualSpacing/>
        <w:rPr>
          <w:rFonts w:ascii="Franklin Gothic Book" w:hAnsi="Franklin Gothic Book" w:cs="Arial"/>
          <w:sz w:val="20"/>
        </w:rPr>
      </w:pPr>
    </w:p>
    <w:p w14:paraId="0DCC9F66" w14:textId="77777777" w:rsidR="00C7175C" w:rsidRPr="00330D57" w:rsidRDefault="00C7175C" w:rsidP="00110CA9">
      <w:pPr>
        <w:spacing w:after="120" w:line="240" w:lineRule="auto"/>
        <w:contextualSpacing/>
        <w:rPr>
          <w:rFonts w:ascii="Franklin Gothic Book" w:hAnsi="Franklin Gothic Book" w:cs="Arial"/>
          <w:sz w:val="20"/>
        </w:rPr>
      </w:pPr>
    </w:p>
    <w:p w14:paraId="34224D4F" w14:textId="7D7EB7A5" w:rsidR="00720D6E" w:rsidRPr="00330D57" w:rsidRDefault="00720D6E" w:rsidP="00110CA9">
      <w:pPr>
        <w:spacing w:after="120" w:line="240" w:lineRule="auto"/>
        <w:rPr>
          <w:rFonts w:ascii="Franklin Gothic Book" w:hAnsi="Franklin Gothic Book" w:cs="Arial"/>
          <w:sz w:val="20"/>
          <w:szCs w:val="20"/>
        </w:rPr>
      </w:pPr>
      <w:r w:rsidRPr="00330D57">
        <w:rPr>
          <w:rFonts w:ascii="Franklin Gothic Book" w:hAnsi="Franklin Gothic Book" w:cs="Arial"/>
          <w:sz w:val="20"/>
        </w:rPr>
        <w:t>This Fre</w:t>
      </w:r>
      <w:r w:rsidR="00C632E9" w:rsidRPr="00330D57">
        <w:rPr>
          <w:rFonts w:ascii="Franklin Gothic Book" w:hAnsi="Franklin Gothic Book" w:cs="Arial"/>
          <w:sz w:val="20"/>
        </w:rPr>
        <w:t xml:space="preserve">quently Asked Questions (FAQ) document provides information about the Idaho Department of Health and Welfare’s </w:t>
      </w:r>
      <w:r w:rsidR="00FF5840" w:rsidRPr="00330D57">
        <w:rPr>
          <w:rFonts w:ascii="Franklin Gothic Book" w:hAnsi="Franklin Gothic Book" w:cs="Arial"/>
          <w:sz w:val="20"/>
        </w:rPr>
        <w:t xml:space="preserve">(DHW) </w:t>
      </w:r>
      <w:r w:rsidR="001723CE">
        <w:rPr>
          <w:rFonts w:ascii="Franklin Gothic Book" w:hAnsi="Franklin Gothic Book" w:cs="Arial"/>
          <w:sz w:val="20"/>
          <w:szCs w:val="20"/>
        </w:rPr>
        <w:t xml:space="preserve">October </w:t>
      </w:r>
      <w:r w:rsidR="005F6E14" w:rsidRPr="00330D57">
        <w:rPr>
          <w:rFonts w:ascii="Franklin Gothic Book" w:hAnsi="Franklin Gothic Book" w:cs="Arial"/>
          <w:sz w:val="20"/>
          <w:szCs w:val="20"/>
        </w:rPr>
        <w:t>1, 202</w:t>
      </w:r>
      <w:r w:rsidR="001723CE">
        <w:rPr>
          <w:rFonts w:ascii="Franklin Gothic Book" w:hAnsi="Franklin Gothic Book" w:cs="Arial"/>
          <w:sz w:val="20"/>
          <w:szCs w:val="20"/>
        </w:rPr>
        <w:t>4,</w:t>
      </w:r>
      <w:r w:rsidR="005F6E14" w:rsidRPr="00330D57">
        <w:rPr>
          <w:rFonts w:ascii="Franklin Gothic Book" w:hAnsi="Franklin Gothic Book" w:cs="Arial"/>
          <w:sz w:val="20"/>
          <w:szCs w:val="20"/>
        </w:rPr>
        <w:t xml:space="preserve"> </w:t>
      </w:r>
      <w:r w:rsidR="00F7469B">
        <w:rPr>
          <w:rFonts w:ascii="Franklin Gothic Book" w:hAnsi="Franklin Gothic Book" w:cs="Arial"/>
          <w:sz w:val="20"/>
        </w:rPr>
        <w:t>update to the</w:t>
      </w:r>
      <w:r w:rsidR="00C632E9" w:rsidRPr="00330D57">
        <w:rPr>
          <w:rFonts w:ascii="Franklin Gothic Book" w:hAnsi="Franklin Gothic Book" w:cs="Arial"/>
          <w:sz w:val="20"/>
          <w:szCs w:val="20"/>
        </w:rPr>
        <w:t xml:space="preserve"> </w:t>
      </w:r>
      <w:r w:rsidR="005F6E14" w:rsidRPr="00330D57">
        <w:rPr>
          <w:rFonts w:ascii="Franklin Gothic Book" w:hAnsi="Franklin Gothic Book" w:cs="Arial"/>
          <w:sz w:val="20"/>
          <w:szCs w:val="20"/>
        </w:rPr>
        <w:t xml:space="preserve">inpatient hospital payment methodology </w:t>
      </w:r>
      <w:r w:rsidR="00C632E9" w:rsidRPr="00330D57">
        <w:rPr>
          <w:rFonts w:ascii="Franklin Gothic Book" w:hAnsi="Franklin Gothic Book" w:cs="Arial"/>
          <w:sz w:val="20"/>
          <w:szCs w:val="20"/>
        </w:rPr>
        <w:t xml:space="preserve">based on </w:t>
      </w:r>
      <w:r w:rsidR="000436C6" w:rsidRPr="00330D57">
        <w:rPr>
          <w:rFonts w:ascii="Franklin Gothic Book" w:hAnsi="Franklin Gothic Book" w:cs="Arial"/>
          <w:sz w:val="20"/>
          <w:szCs w:val="20"/>
        </w:rPr>
        <w:t xml:space="preserve">the </w:t>
      </w:r>
      <w:proofErr w:type="spellStart"/>
      <w:r w:rsidR="001723CE">
        <w:rPr>
          <w:rFonts w:ascii="Franklin Gothic Book" w:hAnsi="Franklin Gothic Book" w:cs="Arial"/>
          <w:sz w:val="20"/>
          <w:szCs w:val="20"/>
        </w:rPr>
        <w:t>Solventum</w:t>
      </w:r>
      <w:proofErr w:type="spellEnd"/>
      <w:r w:rsidR="001723CE" w:rsidRPr="00330D57">
        <w:rPr>
          <w:rFonts w:ascii="Franklin Gothic Book" w:hAnsi="Franklin Gothic Book" w:cs="Arial"/>
          <w:sz w:val="20"/>
          <w:szCs w:val="20"/>
        </w:rPr>
        <w:t xml:space="preserve"> </w:t>
      </w:r>
      <w:r w:rsidR="00C632E9" w:rsidRPr="00330D57">
        <w:rPr>
          <w:rFonts w:ascii="Franklin Gothic Book" w:hAnsi="Franklin Gothic Book" w:cs="Arial"/>
          <w:sz w:val="20"/>
          <w:szCs w:val="20"/>
        </w:rPr>
        <w:t xml:space="preserve">All Patient Refined </w:t>
      </w:r>
      <w:r w:rsidR="001723CE">
        <w:rPr>
          <w:rFonts w:ascii="Franklin Gothic Book" w:hAnsi="Franklin Gothic Book" w:cs="Arial"/>
          <w:sz w:val="20"/>
          <w:szCs w:val="20"/>
        </w:rPr>
        <w:t>Diagnosis Related Groups</w:t>
      </w:r>
      <w:r w:rsidR="001723CE" w:rsidRPr="00330D57">
        <w:rPr>
          <w:rFonts w:ascii="Franklin Gothic Book" w:hAnsi="Franklin Gothic Book" w:cs="Arial"/>
          <w:sz w:val="20"/>
          <w:szCs w:val="20"/>
        </w:rPr>
        <w:t xml:space="preserve"> </w:t>
      </w:r>
      <w:r w:rsidR="00C632E9" w:rsidRPr="00330D57">
        <w:rPr>
          <w:rFonts w:ascii="Franklin Gothic Book" w:hAnsi="Franklin Gothic Book" w:cs="Arial"/>
          <w:sz w:val="20"/>
          <w:szCs w:val="20"/>
        </w:rPr>
        <w:t>(APR</w:t>
      </w:r>
      <w:r w:rsidR="001723CE">
        <w:rPr>
          <w:rFonts w:ascii="Franklin Gothic Book" w:hAnsi="Franklin Gothic Book" w:cs="Arial"/>
          <w:sz w:val="20"/>
          <w:szCs w:val="20"/>
        </w:rPr>
        <w:t>-</w:t>
      </w:r>
      <w:r w:rsidR="00C632E9" w:rsidRPr="00330D57">
        <w:rPr>
          <w:rFonts w:ascii="Franklin Gothic Book" w:hAnsi="Franklin Gothic Book" w:cs="Arial"/>
          <w:sz w:val="20"/>
          <w:szCs w:val="20"/>
        </w:rPr>
        <w:t>DRG)</w:t>
      </w:r>
      <w:r w:rsidR="000436C6" w:rsidRPr="00330D57">
        <w:rPr>
          <w:rFonts w:ascii="Franklin Gothic Book" w:hAnsi="Franklin Gothic Book" w:cs="Arial"/>
          <w:sz w:val="20"/>
          <w:szCs w:val="20"/>
        </w:rPr>
        <w:t xml:space="preserve"> Software</w:t>
      </w:r>
      <w:r w:rsidR="00C632E9" w:rsidRPr="00330D57">
        <w:rPr>
          <w:rFonts w:ascii="Franklin Gothic Book" w:hAnsi="Franklin Gothic Book" w:cs="Arial"/>
          <w:sz w:val="20"/>
          <w:szCs w:val="20"/>
        </w:rPr>
        <w:t>. This FAQ addresses the components of the</w:t>
      </w:r>
      <w:r w:rsidR="00DE1E55" w:rsidRPr="00330D57">
        <w:rPr>
          <w:rFonts w:ascii="Franklin Gothic Book" w:hAnsi="Franklin Gothic Book" w:cs="Arial"/>
          <w:sz w:val="20"/>
          <w:szCs w:val="20"/>
        </w:rPr>
        <w:t xml:space="preserve"> DRG system at a high level and is not intended to answer questions about </w:t>
      </w:r>
      <w:r w:rsidR="005F6E14" w:rsidRPr="00330D57">
        <w:rPr>
          <w:rFonts w:ascii="Franklin Gothic Book" w:hAnsi="Franklin Gothic Book" w:cs="Arial"/>
          <w:sz w:val="20"/>
          <w:szCs w:val="20"/>
        </w:rPr>
        <w:t>all</w:t>
      </w:r>
      <w:r w:rsidR="00DE1E55" w:rsidRPr="00330D57">
        <w:rPr>
          <w:rFonts w:ascii="Franklin Gothic Book" w:hAnsi="Franklin Gothic Book" w:cs="Arial"/>
          <w:sz w:val="20"/>
          <w:szCs w:val="20"/>
        </w:rPr>
        <w:t xml:space="preserve"> circumstance</w:t>
      </w:r>
      <w:r w:rsidR="005F6E14" w:rsidRPr="00330D57">
        <w:rPr>
          <w:rFonts w:ascii="Franklin Gothic Book" w:hAnsi="Franklin Gothic Book" w:cs="Arial"/>
          <w:sz w:val="20"/>
          <w:szCs w:val="20"/>
        </w:rPr>
        <w:t>s</w:t>
      </w:r>
      <w:r w:rsidR="00DE1E55" w:rsidRPr="00330D57">
        <w:rPr>
          <w:rFonts w:ascii="Franklin Gothic Book" w:hAnsi="Franklin Gothic Book" w:cs="Arial"/>
          <w:sz w:val="20"/>
          <w:szCs w:val="20"/>
        </w:rPr>
        <w:t>. A DRG calculator provides estimated payments based on provider and claim inputs</w:t>
      </w:r>
      <w:r w:rsidR="005F6E14" w:rsidRPr="00330D57">
        <w:rPr>
          <w:rFonts w:ascii="Franklin Gothic Book" w:hAnsi="Franklin Gothic Book" w:cs="Arial"/>
          <w:sz w:val="20"/>
          <w:szCs w:val="20"/>
        </w:rPr>
        <w:t xml:space="preserve"> and</w:t>
      </w:r>
      <w:r w:rsidR="00DE1E55" w:rsidRPr="00330D57">
        <w:rPr>
          <w:rFonts w:ascii="Franklin Gothic Book" w:hAnsi="Franklin Gothic Book" w:cs="Arial"/>
          <w:sz w:val="20"/>
          <w:szCs w:val="20"/>
        </w:rPr>
        <w:t xml:space="preserve"> is available on the DHW website. For any additional questions, email </w:t>
      </w:r>
      <w:r w:rsidR="00B81A5E" w:rsidRPr="00330D57">
        <w:rPr>
          <w:rFonts w:ascii="Franklin Gothic Book" w:hAnsi="Franklin Gothic Book" w:cs="Arial"/>
          <w:sz w:val="20"/>
          <w:szCs w:val="20"/>
        </w:rPr>
        <w:t xml:space="preserve">the Medicaid Reimbursement Team at </w:t>
      </w:r>
      <w:hyperlink r:id="rId11" w:history="1">
        <w:r w:rsidR="00B81A5E" w:rsidRPr="00330D57">
          <w:rPr>
            <w:rStyle w:val="Hyperlink"/>
            <w:rFonts w:ascii="Franklin Gothic Book" w:hAnsi="Franklin Gothic Book" w:cs="Arial"/>
            <w:color w:val="auto"/>
            <w:sz w:val="20"/>
            <w:szCs w:val="20"/>
          </w:rPr>
          <w:t>MedicaidReimTeam@dhw.idaho.gov</w:t>
        </w:r>
      </w:hyperlink>
      <w:r w:rsidR="00B81A5E" w:rsidRPr="00330D57">
        <w:rPr>
          <w:rFonts w:ascii="Franklin Gothic Book" w:hAnsi="Franklin Gothic Book" w:cs="Arial"/>
          <w:sz w:val="20"/>
          <w:szCs w:val="20"/>
        </w:rPr>
        <w:t xml:space="preserve"> or call at 208-364-1817</w:t>
      </w:r>
      <w:r w:rsidR="000436C6" w:rsidRPr="00330D57">
        <w:rPr>
          <w:rFonts w:ascii="Franklin Gothic Book" w:hAnsi="Franklin Gothic Book" w:cs="Arial"/>
          <w:sz w:val="20"/>
          <w:szCs w:val="20"/>
        </w:rPr>
        <w:t>.</w:t>
      </w:r>
    </w:p>
    <w:p w14:paraId="22FCA545" w14:textId="77777777" w:rsidR="00720D6E" w:rsidRPr="00330D57" w:rsidRDefault="00720D6E" w:rsidP="00110CA9">
      <w:pPr>
        <w:spacing w:after="120" w:line="240" w:lineRule="auto"/>
        <w:rPr>
          <w:rFonts w:ascii="Franklin Gothic Book" w:hAnsi="Franklin Gothic Book" w:cs="Arial"/>
          <w:sz w:val="20"/>
        </w:rPr>
      </w:pPr>
    </w:p>
    <w:p w14:paraId="13D8421E" w14:textId="2D553CB6" w:rsidR="00F7469B" w:rsidRPr="00330D57" w:rsidRDefault="00F7469B" w:rsidP="00F7469B">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What </w:t>
      </w:r>
      <w:r>
        <w:rPr>
          <w:rFonts w:ascii="Franklin Gothic Book" w:hAnsi="Franklin Gothic Book" w:cs="Arial"/>
          <w:b/>
          <w:color w:val="38939B"/>
          <w:sz w:val="24"/>
        </w:rPr>
        <w:t xml:space="preserve">changes will be made in the </w:t>
      </w:r>
      <w:r w:rsidR="001723CE">
        <w:rPr>
          <w:rFonts w:ascii="Franklin Gothic Book" w:hAnsi="Franklin Gothic Book" w:cs="Arial"/>
          <w:b/>
          <w:color w:val="38939B"/>
          <w:sz w:val="24"/>
        </w:rPr>
        <w:t>October</w:t>
      </w:r>
      <w:r>
        <w:rPr>
          <w:rFonts w:ascii="Franklin Gothic Book" w:hAnsi="Franklin Gothic Book" w:cs="Arial"/>
          <w:b/>
          <w:color w:val="38939B"/>
          <w:sz w:val="24"/>
        </w:rPr>
        <w:t xml:space="preserve"> 1, </w:t>
      </w:r>
      <w:proofErr w:type="gramStart"/>
      <w:r w:rsidR="001723CE">
        <w:rPr>
          <w:rFonts w:ascii="Franklin Gothic Book" w:hAnsi="Franklin Gothic Book" w:cs="Arial"/>
          <w:b/>
          <w:color w:val="38939B"/>
          <w:sz w:val="24"/>
        </w:rPr>
        <w:t>2024</w:t>
      </w:r>
      <w:proofErr w:type="gramEnd"/>
      <w:r w:rsidR="001723CE">
        <w:rPr>
          <w:rFonts w:ascii="Franklin Gothic Book" w:hAnsi="Franklin Gothic Book" w:cs="Arial"/>
          <w:b/>
          <w:color w:val="38939B"/>
          <w:sz w:val="24"/>
        </w:rPr>
        <w:t xml:space="preserve"> </w:t>
      </w:r>
      <w:r>
        <w:rPr>
          <w:rFonts w:ascii="Franklin Gothic Book" w:hAnsi="Franklin Gothic Book" w:cs="Arial"/>
          <w:b/>
          <w:color w:val="38939B"/>
          <w:sz w:val="24"/>
        </w:rPr>
        <w:t>update</w:t>
      </w:r>
      <w:r w:rsidRPr="00330D57">
        <w:rPr>
          <w:rFonts w:ascii="Franklin Gothic Book" w:hAnsi="Franklin Gothic Book" w:cs="Arial"/>
          <w:b/>
          <w:color w:val="38939B"/>
          <w:sz w:val="24"/>
        </w:rPr>
        <w:t>?</w:t>
      </w:r>
    </w:p>
    <w:p w14:paraId="6A6D41F4" w14:textId="33D6B2DD" w:rsidR="00F7469B" w:rsidRPr="00330D57" w:rsidRDefault="00F7469B" w:rsidP="00F7469B">
      <w:pPr>
        <w:pStyle w:val="ListParagraph"/>
        <w:spacing w:after="120" w:line="240" w:lineRule="auto"/>
        <w:ind w:left="360"/>
        <w:rPr>
          <w:rFonts w:ascii="Franklin Gothic Book" w:hAnsi="Franklin Gothic Book" w:cs="Arial"/>
          <w:sz w:val="20"/>
        </w:rPr>
      </w:pPr>
      <w:r>
        <w:rPr>
          <w:rFonts w:ascii="Franklin Gothic Book" w:hAnsi="Franklin Gothic Book" w:cs="Arial"/>
          <w:sz w:val="20"/>
        </w:rPr>
        <w:t xml:space="preserve">While the overall structure of the DRG methodology will remain intact, the </w:t>
      </w:r>
      <w:r w:rsidR="001723CE">
        <w:rPr>
          <w:rFonts w:ascii="Franklin Gothic Book" w:hAnsi="Franklin Gothic Book" w:cs="Arial"/>
          <w:sz w:val="20"/>
        </w:rPr>
        <w:t>October</w:t>
      </w:r>
      <w:r>
        <w:rPr>
          <w:rFonts w:ascii="Franklin Gothic Book" w:hAnsi="Franklin Gothic Book" w:cs="Arial"/>
          <w:sz w:val="20"/>
        </w:rPr>
        <w:t xml:space="preserve"> 1, 202</w:t>
      </w:r>
      <w:r w:rsidR="001723CE">
        <w:rPr>
          <w:rFonts w:ascii="Franklin Gothic Book" w:hAnsi="Franklin Gothic Book" w:cs="Arial"/>
          <w:sz w:val="20"/>
        </w:rPr>
        <w:t>4,</w:t>
      </w:r>
      <w:r>
        <w:rPr>
          <w:rFonts w:ascii="Franklin Gothic Book" w:hAnsi="Franklin Gothic Book" w:cs="Arial"/>
          <w:sz w:val="20"/>
        </w:rPr>
        <w:t xml:space="preserve"> update will include changes to key components and values:</w:t>
      </w:r>
    </w:p>
    <w:p w14:paraId="7DF453F1" w14:textId="6A45C726" w:rsidR="00F7469B" w:rsidRPr="00330D57" w:rsidRDefault="00F7469B" w:rsidP="00F7469B">
      <w:pPr>
        <w:pStyle w:val="ListParagraph"/>
        <w:numPr>
          <w:ilvl w:val="0"/>
          <w:numId w:val="2"/>
        </w:numPr>
        <w:spacing w:after="120" w:line="240" w:lineRule="auto"/>
        <w:rPr>
          <w:rFonts w:ascii="Franklin Gothic Book" w:hAnsi="Franklin Gothic Book" w:cs="Arial"/>
          <w:sz w:val="20"/>
        </w:rPr>
      </w:pPr>
      <w:r>
        <w:rPr>
          <w:rFonts w:ascii="Franklin Gothic Book" w:hAnsi="Franklin Gothic Book" w:cs="Arial"/>
          <w:sz w:val="20"/>
        </w:rPr>
        <w:t xml:space="preserve">Update to Version </w:t>
      </w:r>
      <w:r w:rsidR="001723CE">
        <w:rPr>
          <w:rFonts w:ascii="Franklin Gothic Book" w:hAnsi="Franklin Gothic Book" w:cs="Arial"/>
          <w:sz w:val="20"/>
        </w:rPr>
        <w:t>41</w:t>
      </w:r>
      <w:r>
        <w:rPr>
          <w:rFonts w:ascii="Franklin Gothic Book" w:hAnsi="Franklin Gothic Book" w:cs="Arial"/>
          <w:sz w:val="20"/>
        </w:rPr>
        <w:t xml:space="preserve"> of the </w:t>
      </w:r>
      <w:proofErr w:type="spellStart"/>
      <w:r w:rsidR="001723CE">
        <w:rPr>
          <w:rFonts w:ascii="Franklin Gothic Book" w:hAnsi="Franklin Gothic Book" w:cs="Arial"/>
          <w:sz w:val="20"/>
        </w:rPr>
        <w:t>Solventum</w:t>
      </w:r>
      <w:proofErr w:type="spellEnd"/>
      <w:r w:rsidR="001723CE">
        <w:rPr>
          <w:rFonts w:ascii="Franklin Gothic Book" w:hAnsi="Franklin Gothic Book" w:cs="Arial"/>
          <w:sz w:val="20"/>
        </w:rPr>
        <w:t xml:space="preserve"> </w:t>
      </w:r>
      <w:r>
        <w:rPr>
          <w:rFonts w:ascii="Franklin Gothic Book" w:hAnsi="Franklin Gothic Book" w:cs="Arial"/>
          <w:sz w:val="20"/>
        </w:rPr>
        <w:t xml:space="preserve">All Patient Refined </w:t>
      </w:r>
      <w:r w:rsidR="001723CE">
        <w:rPr>
          <w:rFonts w:ascii="Franklin Gothic Book" w:hAnsi="Franklin Gothic Book" w:cs="Arial"/>
          <w:sz w:val="20"/>
        </w:rPr>
        <w:t xml:space="preserve">Diagnosis Related Groups </w:t>
      </w:r>
      <w:r>
        <w:rPr>
          <w:rFonts w:ascii="Franklin Gothic Book" w:hAnsi="Franklin Gothic Book" w:cs="Arial"/>
          <w:sz w:val="20"/>
        </w:rPr>
        <w:t>(APR</w:t>
      </w:r>
      <w:r w:rsidR="001723CE">
        <w:rPr>
          <w:rFonts w:ascii="Franklin Gothic Book" w:hAnsi="Franklin Gothic Book" w:cs="Arial"/>
          <w:sz w:val="20"/>
        </w:rPr>
        <w:t>-</w:t>
      </w:r>
      <w:r>
        <w:rPr>
          <w:rFonts w:ascii="Franklin Gothic Book" w:hAnsi="Franklin Gothic Book" w:cs="Arial"/>
          <w:sz w:val="20"/>
        </w:rPr>
        <w:t xml:space="preserve">DRG) grouper and </w:t>
      </w:r>
      <w:r w:rsidR="00C07029">
        <w:rPr>
          <w:rFonts w:ascii="Franklin Gothic Book" w:hAnsi="Franklin Gothic Book" w:cs="Arial"/>
          <w:sz w:val="20"/>
        </w:rPr>
        <w:t xml:space="preserve">relative </w:t>
      </w:r>
      <w:r>
        <w:rPr>
          <w:rFonts w:ascii="Franklin Gothic Book" w:hAnsi="Franklin Gothic Book" w:cs="Arial"/>
          <w:sz w:val="20"/>
        </w:rPr>
        <w:t>weights</w:t>
      </w:r>
      <w:r w:rsidR="0043617A">
        <w:rPr>
          <w:rFonts w:ascii="Franklin Gothic Book" w:hAnsi="Franklin Gothic Book" w:cs="Arial"/>
          <w:sz w:val="20"/>
        </w:rPr>
        <w:t xml:space="preserve"> (</w:t>
      </w:r>
      <w:r w:rsidR="00206064">
        <w:rPr>
          <w:rFonts w:ascii="Franklin Gothic Book" w:hAnsi="Franklin Gothic Book" w:cs="Arial"/>
          <w:sz w:val="20"/>
        </w:rPr>
        <w:t xml:space="preserve">see </w:t>
      </w:r>
      <w:r w:rsidR="0043617A">
        <w:rPr>
          <w:rFonts w:ascii="Franklin Gothic Book" w:hAnsi="Franklin Gothic Book" w:cs="Arial"/>
          <w:sz w:val="20"/>
        </w:rPr>
        <w:t>Question 5)</w:t>
      </w:r>
    </w:p>
    <w:p w14:paraId="21455337" w14:textId="7B07DDCD" w:rsidR="00F7469B" w:rsidRPr="00330D57" w:rsidRDefault="00F7469B" w:rsidP="00F7469B">
      <w:pPr>
        <w:pStyle w:val="ListParagraph"/>
        <w:numPr>
          <w:ilvl w:val="0"/>
          <w:numId w:val="2"/>
        </w:numPr>
        <w:spacing w:after="120" w:line="240" w:lineRule="auto"/>
        <w:rPr>
          <w:rFonts w:ascii="Franklin Gothic Book" w:hAnsi="Franklin Gothic Book" w:cs="Arial"/>
          <w:sz w:val="20"/>
        </w:rPr>
      </w:pPr>
      <w:r>
        <w:rPr>
          <w:rFonts w:ascii="Franklin Gothic Book" w:hAnsi="Franklin Gothic Book" w:cs="Arial"/>
          <w:sz w:val="20"/>
        </w:rPr>
        <w:t>Updated weight recentering factor</w:t>
      </w:r>
      <w:r w:rsidR="005D42D9">
        <w:rPr>
          <w:rFonts w:ascii="Franklin Gothic Book" w:hAnsi="Franklin Gothic Book" w:cs="Arial"/>
          <w:sz w:val="20"/>
        </w:rPr>
        <w:t xml:space="preserve"> (see Question 17)</w:t>
      </w:r>
    </w:p>
    <w:p w14:paraId="0F8F035C" w14:textId="404100B2" w:rsidR="00F7469B" w:rsidRPr="00330D57" w:rsidRDefault="001723CE" w:rsidP="00F7469B">
      <w:pPr>
        <w:pStyle w:val="ListParagraph"/>
        <w:numPr>
          <w:ilvl w:val="0"/>
          <w:numId w:val="2"/>
        </w:numPr>
        <w:spacing w:after="120" w:line="240" w:lineRule="auto"/>
        <w:rPr>
          <w:rFonts w:ascii="Franklin Gothic Book" w:hAnsi="Franklin Gothic Book" w:cs="Arial"/>
          <w:sz w:val="20"/>
        </w:rPr>
      </w:pPr>
      <w:r>
        <w:rPr>
          <w:rFonts w:ascii="Franklin Gothic Book" w:hAnsi="Franklin Gothic Book" w:cs="Arial"/>
          <w:sz w:val="20"/>
        </w:rPr>
        <w:t>Updated</w:t>
      </w:r>
      <w:r w:rsidR="00F7469B">
        <w:rPr>
          <w:rFonts w:ascii="Franklin Gothic Book" w:hAnsi="Franklin Gothic Book" w:cs="Arial"/>
          <w:sz w:val="20"/>
        </w:rPr>
        <w:t xml:space="preserve"> graduate medical education add-on</w:t>
      </w:r>
      <w:r w:rsidR="0040779C">
        <w:rPr>
          <w:rFonts w:ascii="Franklin Gothic Book" w:hAnsi="Franklin Gothic Book" w:cs="Arial"/>
          <w:sz w:val="20"/>
        </w:rPr>
        <w:t xml:space="preserve"> (see Question </w:t>
      </w:r>
      <w:r w:rsidR="00BF0E17">
        <w:rPr>
          <w:rFonts w:ascii="Franklin Gothic Book" w:hAnsi="Franklin Gothic Book" w:cs="Arial"/>
          <w:sz w:val="20"/>
        </w:rPr>
        <w:t>27</w:t>
      </w:r>
      <w:r w:rsidR="0040779C">
        <w:rPr>
          <w:rFonts w:ascii="Franklin Gothic Book" w:hAnsi="Franklin Gothic Book" w:cs="Arial"/>
          <w:sz w:val="20"/>
        </w:rPr>
        <w:t>)</w:t>
      </w:r>
    </w:p>
    <w:p w14:paraId="4D0EDA4E" w14:textId="18C47EB7" w:rsidR="00F7469B" w:rsidRDefault="001723CE" w:rsidP="00F7469B">
      <w:pPr>
        <w:pStyle w:val="ListParagraph"/>
        <w:numPr>
          <w:ilvl w:val="0"/>
          <w:numId w:val="2"/>
        </w:numPr>
        <w:spacing w:after="120" w:line="240" w:lineRule="auto"/>
        <w:rPr>
          <w:rFonts w:ascii="Franklin Gothic Book" w:hAnsi="Franklin Gothic Book" w:cs="Arial"/>
          <w:sz w:val="20"/>
        </w:rPr>
      </w:pPr>
      <w:r>
        <w:rPr>
          <w:rFonts w:ascii="Franklin Gothic Book" w:hAnsi="Franklin Gothic Book" w:cs="Arial"/>
          <w:sz w:val="20"/>
        </w:rPr>
        <w:t>Recalibrated Service Category policy adjustors</w:t>
      </w:r>
      <w:r w:rsidR="005D42D9">
        <w:rPr>
          <w:rFonts w:ascii="Franklin Gothic Book" w:hAnsi="Franklin Gothic Book" w:cs="Arial"/>
          <w:sz w:val="20"/>
        </w:rPr>
        <w:t xml:space="preserve"> (see Question 19)</w:t>
      </w:r>
    </w:p>
    <w:p w14:paraId="77DA42D9" w14:textId="6C6B0F08" w:rsidR="00F7469B" w:rsidRDefault="001723CE" w:rsidP="00F7469B">
      <w:pPr>
        <w:pStyle w:val="ListParagraph"/>
        <w:numPr>
          <w:ilvl w:val="0"/>
          <w:numId w:val="2"/>
        </w:numPr>
        <w:spacing w:after="120" w:line="240" w:lineRule="auto"/>
        <w:rPr>
          <w:rFonts w:ascii="Franklin Gothic Book" w:hAnsi="Franklin Gothic Book" w:cs="Arial"/>
          <w:sz w:val="20"/>
        </w:rPr>
      </w:pPr>
      <w:r>
        <w:rPr>
          <w:rFonts w:ascii="Franklin Gothic Book" w:hAnsi="Franklin Gothic Book" w:cs="Arial"/>
          <w:sz w:val="20"/>
        </w:rPr>
        <w:t>Ended transitional base rates and recalibrated hospital-type policy adjustors</w:t>
      </w:r>
      <w:r w:rsidR="006B347A">
        <w:rPr>
          <w:rFonts w:ascii="Franklin Gothic Book" w:hAnsi="Franklin Gothic Book" w:cs="Arial"/>
          <w:sz w:val="20"/>
        </w:rPr>
        <w:t xml:space="preserve"> (see Question 20)</w:t>
      </w:r>
    </w:p>
    <w:p w14:paraId="3390B20B" w14:textId="7CADD9D3" w:rsidR="00826301" w:rsidRDefault="00826301" w:rsidP="00F7469B">
      <w:pPr>
        <w:pStyle w:val="ListParagraph"/>
        <w:numPr>
          <w:ilvl w:val="0"/>
          <w:numId w:val="2"/>
        </w:numPr>
        <w:spacing w:after="120" w:line="240" w:lineRule="auto"/>
        <w:rPr>
          <w:rFonts w:ascii="Franklin Gothic Book" w:hAnsi="Franklin Gothic Book" w:cs="Arial"/>
          <w:sz w:val="20"/>
        </w:rPr>
      </w:pPr>
      <w:r>
        <w:rPr>
          <w:rFonts w:ascii="Franklin Gothic Book" w:hAnsi="Franklin Gothic Book" w:cs="Arial"/>
          <w:sz w:val="20"/>
        </w:rPr>
        <w:t xml:space="preserve">Institutions of Mental Disease </w:t>
      </w:r>
      <w:r w:rsidR="00882551">
        <w:rPr>
          <w:rFonts w:ascii="Franklin Gothic Book" w:hAnsi="Franklin Gothic Book" w:cs="Arial"/>
          <w:sz w:val="20"/>
        </w:rPr>
        <w:t>are subject to DRG payments (see Question 6)</w:t>
      </w:r>
    </w:p>
    <w:p w14:paraId="6E88D26B" w14:textId="136F2347" w:rsidR="00882551" w:rsidRDefault="00882551" w:rsidP="00F7469B">
      <w:pPr>
        <w:pStyle w:val="ListParagraph"/>
        <w:numPr>
          <w:ilvl w:val="0"/>
          <w:numId w:val="2"/>
        </w:numPr>
        <w:spacing w:after="120" w:line="240" w:lineRule="auto"/>
        <w:rPr>
          <w:rFonts w:ascii="Franklin Gothic Book" w:hAnsi="Franklin Gothic Book" w:cs="Arial"/>
          <w:sz w:val="20"/>
        </w:rPr>
      </w:pPr>
      <w:r>
        <w:rPr>
          <w:rFonts w:ascii="Franklin Gothic Book" w:hAnsi="Franklin Gothic Book" w:cs="Arial"/>
          <w:sz w:val="20"/>
        </w:rPr>
        <w:t>Inpatient behavioral health is excluded from DRG payments</w:t>
      </w:r>
      <w:r w:rsidR="00BF0E17">
        <w:rPr>
          <w:rFonts w:ascii="Franklin Gothic Book" w:hAnsi="Franklin Gothic Book" w:cs="Arial"/>
          <w:sz w:val="20"/>
        </w:rPr>
        <w:t xml:space="preserve"> (see Question 8)</w:t>
      </w:r>
    </w:p>
    <w:p w14:paraId="6014D786" w14:textId="77777777" w:rsidR="00F7469B" w:rsidRPr="00330D57" w:rsidRDefault="00F7469B" w:rsidP="001E1A99">
      <w:pPr>
        <w:pStyle w:val="ListParagraph"/>
        <w:spacing w:after="120" w:line="240" w:lineRule="auto"/>
        <w:ind w:left="1080"/>
        <w:rPr>
          <w:rFonts w:ascii="Franklin Gothic Book" w:hAnsi="Franklin Gothic Book" w:cs="Arial"/>
          <w:sz w:val="20"/>
        </w:rPr>
      </w:pPr>
    </w:p>
    <w:p w14:paraId="515D0C2D" w14:textId="77777777" w:rsidR="003872B7" w:rsidRPr="00330D57" w:rsidRDefault="00855924"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What </w:t>
      </w:r>
      <w:r w:rsidR="00827CD6" w:rsidRPr="00330D57">
        <w:rPr>
          <w:rFonts w:ascii="Franklin Gothic Book" w:hAnsi="Franklin Gothic Book" w:cs="Arial"/>
          <w:b/>
          <w:color w:val="38939B"/>
          <w:sz w:val="24"/>
        </w:rPr>
        <w:t xml:space="preserve">are </w:t>
      </w:r>
      <w:r w:rsidRPr="00330D57">
        <w:rPr>
          <w:rFonts w:ascii="Franklin Gothic Book" w:hAnsi="Franklin Gothic Book" w:cs="Arial"/>
          <w:b/>
          <w:color w:val="38939B"/>
          <w:sz w:val="24"/>
        </w:rPr>
        <w:t>Diagnosis Related Groups (DRGs)? What is the goal of DRG payment?</w:t>
      </w:r>
    </w:p>
    <w:p w14:paraId="79A8F874" w14:textId="77777777" w:rsidR="00DE1E55" w:rsidRPr="00330D57" w:rsidRDefault="00827CD6"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DRGs </w:t>
      </w:r>
      <w:r w:rsidR="006E1F59" w:rsidRPr="00330D57">
        <w:rPr>
          <w:rFonts w:ascii="Franklin Gothic Book" w:hAnsi="Franklin Gothic Book" w:cs="Arial"/>
          <w:sz w:val="20"/>
        </w:rPr>
        <w:t xml:space="preserve">are a classification system that assigns inpatient hospital stays into distinct groups based on clinical and patient characteristics. </w:t>
      </w:r>
      <w:r w:rsidRPr="00330D57">
        <w:rPr>
          <w:rFonts w:ascii="Franklin Gothic Book" w:hAnsi="Franklin Gothic Book" w:cs="Arial"/>
          <w:sz w:val="20"/>
        </w:rPr>
        <w:t>In a DRG system, inpatient stays are assigned to a DRG according to diagnos</w:t>
      </w:r>
      <w:r w:rsidR="006E1F59" w:rsidRPr="00330D57">
        <w:rPr>
          <w:rFonts w:ascii="Franklin Gothic Book" w:hAnsi="Franklin Gothic Book" w:cs="Arial"/>
          <w:sz w:val="20"/>
        </w:rPr>
        <w:t>e</w:t>
      </w:r>
      <w:r w:rsidRPr="00330D57">
        <w:rPr>
          <w:rFonts w:ascii="Franklin Gothic Book" w:hAnsi="Franklin Gothic Book" w:cs="Arial"/>
          <w:sz w:val="20"/>
        </w:rPr>
        <w:t>s, procedures performed, and other factors that reflect clinically cohesive groupings of inpatient hospital stays utilizing similar hospital resources. Each DRG receives a relative weight value based on resource utilization relative to all other DRGs. A prospective payment rate is established for each unit of DRG weight for reimbursement purposes. Essentially, facilities that treat patients with greater acuity receive higher levels of reimbursement correlating to higher resource intensity of the patient.</w:t>
      </w:r>
    </w:p>
    <w:p w14:paraId="240F15E4" w14:textId="77777777" w:rsidR="00D272F3" w:rsidRPr="00330D57" w:rsidRDefault="00D272F3" w:rsidP="00110CA9">
      <w:pPr>
        <w:pStyle w:val="ListParagraph"/>
        <w:spacing w:after="120" w:line="240" w:lineRule="auto"/>
        <w:ind w:left="360"/>
        <w:rPr>
          <w:rFonts w:ascii="Franklin Gothic Book" w:hAnsi="Franklin Gothic Book" w:cs="Arial"/>
          <w:sz w:val="20"/>
        </w:rPr>
      </w:pPr>
    </w:p>
    <w:p w14:paraId="62507FBC" w14:textId="4CE71AAA" w:rsidR="006E1F59" w:rsidRPr="00330D57" w:rsidRDefault="006E1F59"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Idaho has several goals </w:t>
      </w:r>
      <w:r w:rsidR="00727E7C" w:rsidRPr="00330D57">
        <w:rPr>
          <w:rFonts w:ascii="Franklin Gothic Book" w:hAnsi="Franklin Gothic Book" w:cs="Arial"/>
          <w:sz w:val="20"/>
        </w:rPr>
        <w:t xml:space="preserve">in </w:t>
      </w:r>
      <w:r w:rsidR="00F7469B">
        <w:rPr>
          <w:rFonts w:ascii="Franklin Gothic Book" w:hAnsi="Franklin Gothic Book" w:cs="Arial"/>
          <w:sz w:val="20"/>
        </w:rPr>
        <w:t xml:space="preserve">its </w:t>
      </w:r>
      <w:r w:rsidR="00727E7C" w:rsidRPr="00330D57">
        <w:rPr>
          <w:rFonts w:ascii="Franklin Gothic Book" w:hAnsi="Franklin Gothic Book" w:cs="Arial"/>
          <w:sz w:val="20"/>
        </w:rPr>
        <w:t>DRG methodology:</w:t>
      </w:r>
    </w:p>
    <w:p w14:paraId="45414A67" w14:textId="58F6BD6E" w:rsidR="00727E7C" w:rsidRPr="00330D57" w:rsidRDefault="00F7469B" w:rsidP="00110CA9">
      <w:pPr>
        <w:pStyle w:val="ListParagraph"/>
        <w:numPr>
          <w:ilvl w:val="0"/>
          <w:numId w:val="2"/>
        </w:numPr>
        <w:spacing w:after="120" w:line="240" w:lineRule="auto"/>
        <w:rPr>
          <w:rFonts w:ascii="Franklin Gothic Book" w:hAnsi="Franklin Gothic Book" w:cs="Arial"/>
          <w:sz w:val="20"/>
        </w:rPr>
      </w:pPr>
      <w:r>
        <w:rPr>
          <w:rFonts w:ascii="Franklin Gothic Book" w:hAnsi="Franklin Gothic Book" w:cs="Arial"/>
          <w:sz w:val="20"/>
        </w:rPr>
        <w:t>Incentivizing</w:t>
      </w:r>
      <w:r w:rsidR="00727E7C" w:rsidRPr="00330D57">
        <w:rPr>
          <w:rFonts w:ascii="Franklin Gothic Book" w:hAnsi="Franklin Gothic Book" w:cs="Arial"/>
          <w:sz w:val="20"/>
        </w:rPr>
        <w:t xml:space="preserve"> efficiency and treatment of high-acuity patients</w:t>
      </w:r>
    </w:p>
    <w:p w14:paraId="74D03BF7" w14:textId="77777777" w:rsidR="00727E7C" w:rsidRPr="00330D57" w:rsidRDefault="00727E7C" w:rsidP="00110CA9">
      <w:pPr>
        <w:pStyle w:val="ListParagraph"/>
        <w:numPr>
          <w:ilvl w:val="0"/>
          <w:numId w:val="2"/>
        </w:numPr>
        <w:spacing w:after="120" w:line="240" w:lineRule="auto"/>
        <w:rPr>
          <w:rFonts w:ascii="Franklin Gothic Book" w:hAnsi="Franklin Gothic Book" w:cs="Arial"/>
          <w:sz w:val="20"/>
        </w:rPr>
      </w:pPr>
      <w:r w:rsidRPr="00330D57">
        <w:rPr>
          <w:rFonts w:ascii="Franklin Gothic Book" w:hAnsi="Franklin Gothic Book" w:cs="Arial"/>
          <w:sz w:val="20"/>
        </w:rPr>
        <w:t>Transparency and predictability in payments</w:t>
      </w:r>
    </w:p>
    <w:p w14:paraId="739957CE" w14:textId="77777777" w:rsidR="00727E7C" w:rsidRPr="00330D57" w:rsidRDefault="00727E7C" w:rsidP="00110CA9">
      <w:pPr>
        <w:pStyle w:val="ListParagraph"/>
        <w:numPr>
          <w:ilvl w:val="0"/>
          <w:numId w:val="2"/>
        </w:numPr>
        <w:spacing w:after="120" w:line="240" w:lineRule="auto"/>
        <w:rPr>
          <w:rFonts w:ascii="Franklin Gothic Book" w:hAnsi="Franklin Gothic Book" w:cs="Arial"/>
          <w:sz w:val="20"/>
        </w:rPr>
      </w:pPr>
      <w:r w:rsidRPr="00330D57">
        <w:rPr>
          <w:rFonts w:ascii="Franklin Gothic Book" w:hAnsi="Franklin Gothic Book" w:cs="Arial"/>
          <w:sz w:val="20"/>
        </w:rPr>
        <w:t>Fairness across providers</w:t>
      </w:r>
    </w:p>
    <w:p w14:paraId="5CCA7B63" w14:textId="77777777" w:rsidR="00727E7C" w:rsidRPr="00330D57" w:rsidRDefault="00727E7C" w:rsidP="00110CA9">
      <w:pPr>
        <w:pStyle w:val="ListParagraph"/>
        <w:numPr>
          <w:ilvl w:val="0"/>
          <w:numId w:val="2"/>
        </w:numPr>
        <w:spacing w:after="120" w:line="240" w:lineRule="auto"/>
        <w:rPr>
          <w:rFonts w:ascii="Franklin Gothic Book" w:hAnsi="Franklin Gothic Book" w:cs="Arial"/>
          <w:sz w:val="20"/>
        </w:rPr>
      </w:pPr>
      <w:r w:rsidRPr="00330D57">
        <w:rPr>
          <w:rFonts w:ascii="Franklin Gothic Book" w:hAnsi="Franklin Gothic Book" w:cs="Arial"/>
          <w:sz w:val="20"/>
        </w:rPr>
        <w:t>Protecting access for Medicaid beneficiaries</w:t>
      </w:r>
    </w:p>
    <w:p w14:paraId="5EEC610D" w14:textId="77777777" w:rsidR="00827CD6" w:rsidRPr="00330D57" w:rsidRDefault="00827CD6" w:rsidP="00110CA9">
      <w:pPr>
        <w:pStyle w:val="ListParagraph"/>
        <w:spacing w:after="120" w:line="240" w:lineRule="auto"/>
        <w:ind w:left="360"/>
        <w:rPr>
          <w:rFonts w:ascii="Franklin Gothic Book" w:hAnsi="Franklin Gothic Book" w:cs="Arial"/>
          <w:sz w:val="20"/>
        </w:rPr>
      </w:pPr>
    </w:p>
    <w:p w14:paraId="2D5412A1" w14:textId="1185CE5C" w:rsidR="00855924" w:rsidRPr="00330D57" w:rsidRDefault="00855924"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What are</w:t>
      </w:r>
      <w:r w:rsidR="00A0036E" w:rsidRPr="00330D57">
        <w:rPr>
          <w:rFonts w:ascii="Franklin Gothic Book" w:hAnsi="Franklin Gothic Book" w:cs="Arial"/>
          <w:b/>
          <w:color w:val="38939B"/>
          <w:sz w:val="24"/>
        </w:rPr>
        <w:t xml:space="preserve"> </w:t>
      </w:r>
      <w:proofErr w:type="spellStart"/>
      <w:r w:rsidR="001723CE">
        <w:rPr>
          <w:rFonts w:ascii="Franklin Gothic Book" w:hAnsi="Franklin Gothic Book" w:cs="Arial"/>
          <w:b/>
          <w:color w:val="38939B"/>
          <w:sz w:val="24"/>
        </w:rPr>
        <w:t>Solventum</w:t>
      </w:r>
      <w:proofErr w:type="spellEnd"/>
      <w:r w:rsidR="001723CE" w:rsidRPr="00330D57">
        <w:rPr>
          <w:rFonts w:ascii="Franklin Gothic Book" w:hAnsi="Franklin Gothic Book" w:cs="Arial"/>
          <w:b/>
          <w:color w:val="38939B"/>
          <w:sz w:val="24"/>
        </w:rPr>
        <w:t xml:space="preserve"> </w:t>
      </w:r>
      <w:r w:rsidRPr="00330D57">
        <w:rPr>
          <w:rFonts w:ascii="Franklin Gothic Book" w:hAnsi="Franklin Gothic Book" w:cs="Arial"/>
          <w:b/>
          <w:color w:val="38939B"/>
          <w:sz w:val="24"/>
        </w:rPr>
        <w:t xml:space="preserve">All Patient Refined </w:t>
      </w:r>
      <w:r w:rsidR="001723CE">
        <w:rPr>
          <w:rFonts w:ascii="Franklin Gothic Book" w:hAnsi="Franklin Gothic Book" w:cs="Arial"/>
          <w:b/>
          <w:color w:val="38939B"/>
          <w:sz w:val="24"/>
        </w:rPr>
        <w:t>Diagnosis Related Groups</w:t>
      </w:r>
      <w:r w:rsidR="001723CE" w:rsidRPr="00330D57">
        <w:rPr>
          <w:rFonts w:ascii="Franklin Gothic Book" w:hAnsi="Franklin Gothic Book" w:cs="Arial"/>
          <w:b/>
          <w:color w:val="38939B"/>
          <w:sz w:val="24"/>
        </w:rPr>
        <w:t xml:space="preserve"> </w:t>
      </w:r>
      <w:r w:rsidRPr="00330D57">
        <w:rPr>
          <w:rFonts w:ascii="Franklin Gothic Book" w:hAnsi="Franklin Gothic Book" w:cs="Arial"/>
          <w:b/>
          <w:color w:val="38939B"/>
          <w:sz w:val="24"/>
        </w:rPr>
        <w:t>(APR</w:t>
      </w:r>
      <w:r w:rsidR="001723CE">
        <w:rPr>
          <w:rFonts w:ascii="Franklin Gothic Book" w:hAnsi="Franklin Gothic Book" w:cs="Arial"/>
          <w:b/>
          <w:color w:val="38939B"/>
          <w:sz w:val="24"/>
        </w:rPr>
        <w:t>-</w:t>
      </w:r>
      <w:r w:rsidRPr="00330D57">
        <w:rPr>
          <w:rFonts w:ascii="Franklin Gothic Book" w:hAnsi="Franklin Gothic Book" w:cs="Arial"/>
          <w:b/>
          <w:color w:val="38939B"/>
          <w:sz w:val="24"/>
        </w:rPr>
        <w:t>DRGs)?</w:t>
      </w:r>
    </w:p>
    <w:p w14:paraId="0D5B7B57" w14:textId="504DFE1C" w:rsidR="00727E7C" w:rsidRPr="00330D57" w:rsidRDefault="001723CE" w:rsidP="00110CA9">
      <w:pPr>
        <w:pStyle w:val="ListParagraph"/>
        <w:spacing w:after="120" w:line="240" w:lineRule="auto"/>
        <w:ind w:left="360"/>
        <w:rPr>
          <w:rFonts w:ascii="Franklin Gothic Book" w:hAnsi="Franklin Gothic Book" w:cs="Arial"/>
          <w:sz w:val="20"/>
        </w:rPr>
      </w:pPr>
      <w:proofErr w:type="spellStart"/>
      <w:r>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Pr>
          <w:rFonts w:ascii="Franklin Gothic Book" w:hAnsi="Franklin Gothic Book" w:cs="Arial"/>
          <w:sz w:val="20"/>
        </w:rPr>
        <w:t xml:space="preserve">(formerly 3M Health Information Systems) </w:t>
      </w:r>
      <w:r w:rsidR="00423B12">
        <w:rPr>
          <w:rFonts w:ascii="Franklin Gothic Book" w:hAnsi="Franklin Gothic Book" w:cs="Arial"/>
          <w:sz w:val="20"/>
        </w:rPr>
        <w:t>APR DRG</w:t>
      </w:r>
      <w:r w:rsidR="00727E7C" w:rsidRPr="00330D57">
        <w:rPr>
          <w:rFonts w:ascii="Franklin Gothic Book" w:hAnsi="Franklin Gothic Book" w:cs="Arial"/>
          <w:sz w:val="20"/>
        </w:rPr>
        <w:t xml:space="preserve">s are a type of </w:t>
      </w:r>
      <w:r w:rsidR="0061274B" w:rsidRPr="00330D57">
        <w:rPr>
          <w:rFonts w:ascii="Franklin Gothic Book" w:hAnsi="Franklin Gothic Book" w:cs="Arial"/>
          <w:sz w:val="20"/>
        </w:rPr>
        <w:t xml:space="preserve">DRG system developed and maintained by </w:t>
      </w:r>
      <w:proofErr w:type="spellStart"/>
      <w:r>
        <w:rPr>
          <w:rFonts w:ascii="Franklin Gothic Book" w:hAnsi="Franklin Gothic Book" w:cs="Arial"/>
          <w:sz w:val="20"/>
        </w:rPr>
        <w:t>Solventum</w:t>
      </w:r>
      <w:proofErr w:type="spellEnd"/>
      <w:r w:rsidR="0061274B" w:rsidRPr="00330D57">
        <w:rPr>
          <w:rFonts w:ascii="Franklin Gothic Book" w:hAnsi="Franklin Gothic Book" w:cs="Arial"/>
          <w:sz w:val="20"/>
        </w:rPr>
        <w:t xml:space="preserve"> and is the predominant DRG system used by Medicaid programs.</w:t>
      </w:r>
      <w:r w:rsidR="00D61855" w:rsidRPr="00330D57">
        <w:rPr>
          <w:rFonts w:ascii="Franklin Gothic Book" w:hAnsi="Franklin Gothic Book" w:cs="Arial"/>
          <w:sz w:val="20"/>
        </w:rPr>
        <w:t xml:space="preserve"> Other DRG systems include MS- and Tri-Care DRGs. Idaho </w:t>
      </w:r>
      <w:r w:rsidR="00FF5840" w:rsidRPr="00330D57">
        <w:rPr>
          <w:rFonts w:ascii="Franklin Gothic Book" w:hAnsi="Franklin Gothic Book" w:cs="Arial"/>
          <w:sz w:val="20"/>
        </w:rPr>
        <w:t xml:space="preserve">DHW </w:t>
      </w:r>
      <w:r w:rsidR="00A0036E" w:rsidRPr="00330D57">
        <w:rPr>
          <w:rFonts w:ascii="Franklin Gothic Book" w:hAnsi="Franklin Gothic Book" w:cs="Arial"/>
          <w:sz w:val="20"/>
        </w:rPr>
        <w:t xml:space="preserve">and Providers </w:t>
      </w:r>
      <w:r w:rsidR="00D61855" w:rsidRPr="00330D57">
        <w:rPr>
          <w:rFonts w:ascii="Franklin Gothic Book" w:hAnsi="Franklin Gothic Book" w:cs="Arial"/>
          <w:sz w:val="20"/>
        </w:rPr>
        <w:t xml:space="preserve">chose to use </w:t>
      </w:r>
      <w:proofErr w:type="spellStart"/>
      <w:r>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00D61855" w:rsidRPr="00330D57">
        <w:rPr>
          <w:rFonts w:ascii="Franklin Gothic Book" w:hAnsi="Franklin Gothic Book" w:cs="Arial"/>
          <w:sz w:val="20"/>
        </w:rPr>
        <w:t xml:space="preserve">s because of their suitability for Medicaid populations, </w:t>
      </w:r>
      <w:r w:rsidR="00FF5840" w:rsidRPr="00330D57">
        <w:rPr>
          <w:rFonts w:ascii="Franklin Gothic Book" w:hAnsi="Franklin Gothic Book" w:cs="Arial"/>
          <w:sz w:val="20"/>
        </w:rPr>
        <w:t>more sophisticated severity measurement, and significantly more DRGs for newborns, obstetrics, and mental health cases.</w:t>
      </w:r>
    </w:p>
    <w:p w14:paraId="09976BB6" w14:textId="77777777" w:rsidR="00E060F5" w:rsidRPr="00330D57" w:rsidRDefault="00E060F5" w:rsidP="00110CA9">
      <w:pPr>
        <w:pStyle w:val="ListParagraph"/>
        <w:spacing w:after="120" w:line="240" w:lineRule="auto"/>
        <w:ind w:left="360"/>
        <w:rPr>
          <w:rFonts w:ascii="Franklin Gothic Book" w:hAnsi="Franklin Gothic Book" w:cs="Arial"/>
          <w:sz w:val="20"/>
          <w:szCs w:val="20"/>
        </w:rPr>
      </w:pPr>
    </w:p>
    <w:p w14:paraId="79127019" w14:textId="77777777" w:rsidR="007D73F6" w:rsidRDefault="007D73F6">
      <w:pPr>
        <w:rPr>
          <w:rFonts w:ascii="Franklin Gothic Book" w:hAnsi="Franklin Gothic Book" w:cs="Arial"/>
          <w:b/>
          <w:color w:val="38939B"/>
          <w:sz w:val="24"/>
        </w:rPr>
      </w:pPr>
      <w:r>
        <w:rPr>
          <w:rFonts w:ascii="Franklin Gothic Book" w:hAnsi="Franklin Gothic Book" w:cs="Arial"/>
          <w:b/>
          <w:color w:val="38939B"/>
          <w:sz w:val="24"/>
        </w:rPr>
        <w:br w:type="page"/>
      </w:r>
    </w:p>
    <w:p w14:paraId="110BD3F3" w14:textId="39430921" w:rsidR="00E060F5" w:rsidRPr="00330D57" w:rsidRDefault="00E060F5"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lastRenderedPageBreak/>
        <w:t xml:space="preserve">When </w:t>
      </w:r>
      <w:r w:rsidR="0043617A">
        <w:rPr>
          <w:rFonts w:ascii="Franklin Gothic Book" w:hAnsi="Franklin Gothic Book" w:cs="Arial"/>
          <w:b/>
          <w:color w:val="38939B"/>
          <w:sz w:val="24"/>
        </w:rPr>
        <w:t xml:space="preserve">was </w:t>
      </w:r>
      <w:r w:rsidRPr="00330D57">
        <w:rPr>
          <w:rFonts w:ascii="Franklin Gothic Book" w:hAnsi="Franklin Gothic Book" w:cs="Arial"/>
          <w:b/>
          <w:color w:val="38939B"/>
          <w:sz w:val="24"/>
        </w:rPr>
        <w:t>the DRG system implemented?</w:t>
      </w:r>
      <w:r w:rsidR="0043617A">
        <w:rPr>
          <w:rFonts w:ascii="Franklin Gothic Book" w:hAnsi="Franklin Gothic Book" w:cs="Arial"/>
          <w:b/>
          <w:color w:val="38939B"/>
          <w:sz w:val="24"/>
        </w:rPr>
        <w:t xml:space="preserve"> When will it be updated</w:t>
      </w:r>
      <w:r w:rsidR="00A16D51">
        <w:rPr>
          <w:rFonts w:ascii="Franklin Gothic Book" w:hAnsi="Franklin Gothic Book" w:cs="Arial"/>
          <w:b/>
          <w:color w:val="38939B"/>
          <w:sz w:val="24"/>
        </w:rPr>
        <w:t>?</w:t>
      </w:r>
    </w:p>
    <w:p w14:paraId="3DDFA43F" w14:textId="1A7F48BE" w:rsidR="004C3970" w:rsidRPr="00330D57" w:rsidRDefault="00E060F5"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The DRG payment system </w:t>
      </w:r>
      <w:r w:rsidR="0043617A">
        <w:rPr>
          <w:rFonts w:ascii="Franklin Gothic Book" w:hAnsi="Franklin Gothic Book" w:cs="Arial"/>
          <w:sz w:val="20"/>
        </w:rPr>
        <w:t>was</w:t>
      </w:r>
      <w:r w:rsidRPr="00330D57">
        <w:rPr>
          <w:rFonts w:ascii="Franklin Gothic Book" w:hAnsi="Franklin Gothic Book" w:cs="Arial"/>
          <w:sz w:val="20"/>
        </w:rPr>
        <w:t xml:space="preserve"> implemented on July 1, 2021, for inpatient claims with discharges on or after that date.</w:t>
      </w:r>
      <w:r w:rsidR="0043617A">
        <w:rPr>
          <w:rFonts w:ascii="Franklin Gothic Book" w:hAnsi="Franklin Gothic Book" w:cs="Arial"/>
          <w:sz w:val="20"/>
        </w:rPr>
        <w:t xml:space="preserve"> The system </w:t>
      </w:r>
      <w:r w:rsidR="00826301">
        <w:rPr>
          <w:rFonts w:ascii="Franklin Gothic Book" w:hAnsi="Franklin Gothic Book" w:cs="Arial"/>
          <w:sz w:val="20"/>
        </w:rPr>
        <w:t xml:space="preserve">was </w:t>
      </w:r>
      <w:r w:rsidR="0043617A">
        <w:rPr>
          <w:rFonts w:ascii="Franklin Gothic Book" w:hAnsi="Franklin Gothic Book" w:cs="Arial"/>
          <w:sz w:val="20"/>
        </w:rPr>
        <w:t xml:space="preserve">updated on </w:t>
      </w:r>
      <w:r w:rsidR="00826301">
        <w:rPr>
          <w:rFonts w:ascii="Franklin Gothic Book" w:hAnsi="Franklin Gothic Book" w:cs="Arial"/>
          <w:sz w:val="20"/>
        </w:rPr>
        <w:t>October</w:t>
      </w:r>
      <w:r w:rsidR="0043617A">
        <w:rPr>
          <w:rFonts w:ascii="Franklin Gothic Book" w:hAnsi="Franklin Gothic Book" w:cs="Arial"/>
          <w:sz w:val="20"/>
        </w:rPr>
        <w:t xml:space="preserve"> 1, 2022, with changes taking effect for inpatient stays with discharges on or after that date.</w:t>
      </w:r>
      <w:r w:rsidR="00826301">
        <w:rPr>
          <w:rFonts w:ascii="Franklin Gothic Book" w:hAnsi="Franklin Gothic Book" w:cs="Arial"/>
          <w:sz w:val="20"/>
        </w:rPr>
        <w:t xml:space="preserve"> The </w:t>
      </w:r>
      <w:r w:rsidR="001E28B5">
        <w:rPr>
          <w:rFonts w:ascii="Franklin Gothic Book" w:hAnsi="Franklin Gothic Book" w:cs="Arial"/>
          <w:sz w:val="20"/>
        </w:rPr>
        <w:t>latest</w:t>
      </w:r>
      <w:r w:rsidR="00826301">
        <w:rPr>
          <w:rFonts w:ascii="Franklin Gothic Book" w:hAnsi="Franklin Gothic Book" w:cs="Arial"/>
          <w:sz w:val="20"/>
        </w:rPr>
        <w:t xml:space="preserve"> system update is effective October 1, 2024.</w:t>
      </w:r>
    </w:p>
    <w:p w14:paraId="3E32183B" w14:textId="77777777" w:rsidR="004B4D05" w:rsidRPr="00330D57" w:rsidRDefault="004B4D05" w:rsidP="00110CA9">
      <w:pPr>
        <w:pStyle w:val="ListParagraph"/>
        <w:spacing w:after="120" w:line="240" w:lineRule="auto"/>
        <w:ind w:left="360"/>
        <w:rPr>
          <w:rFonts w:ascii="Franklin Gothic Book" w:hAnsi="Franklin Gothic Book" w:cs="Arial"/>
          <w:sz w:val="20"/>
        </w:rPr>
      </w:pPr>
    </w:p>
    <w:p w14:paraId="456BC9FF" w14:textId="608A5E94" w:rsidR="003F2626" w:rsidRPr="00330D57" w:rsidRDefault="003F2626"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Which </w:t>
      </w:r>
      <w:proofErr w:type="spellStart"/>
      <w:r w:rsidR="001723CE">
        <w:rPr>
          <w:rFonts w:ascii="Franklin Gothic Book" w:hAnsi="Franklin Gothic Book" w:cs="Arial"/>
          <w:b/>
          <w:color w:val="38939B"/>
          <w:sz w:val="24"/>
        </w:rPr>
        <w:t>Solventum</w:t>
      </w:r>
      <w:proofErr w:type="spellEnd"/>
      <w:r w:rsidR="000436C6" w:rsidRPr="00330D57">
        <w:rPr>
          <w:rFonts w:ascii="Franklin Gothic Book" w:hAnsi="Franklin Gothic Book" w:cs="Arial"/>
          <w:b/>
          <w:color w:val="38939B"/>
          <w:sz w:val="24"/>
        </w:rPr>
        <w:t xml:space="preserve"> </w:t>
      </w:r>
      <w:r w:rsidR="00423B12">
        <w:rPr>
          <w:rFonts w:ascii="Franklin Gothic Book" w:hAnsi="Franklin Gothic Book" w:cs="Arial"/>
          <w:b/>
          <w:color w:val="38939B"/>
          <w:sz w:val="24"/>
        </w:rPr>
        <w:t>APR DRG</w:t>
      </w:r>
      <w:r w:rsidR="00E060F5" w:rsidRPr="00330D57">
        <w:rPr>
          <w:rFonts w:ascii="Franklin Gothic Book" w:hAnsi="Franklin Gothic Book" w:cs="Arial"/>
          <w:b/>
          <w:color w:val="38939B"/>
          <w:sz w:val="24"/>
        </w:rPr>
        <w:t xml:space="preserve"> version will be </w:t>
      </w:r>
      <w:r w:rsidR="0043617A">
        <w:rPr>
          <w:rFonts w:ascii="Franklin Gothic Book" w:hAnsi="Franklin Gothic Book" w:cs="Arial"/>
          <w:b/>
          <w:color w:val="38939B"/>
          <w:sz w:val="24"/>
        </w:rPr>
        <w:t>us</w:t>
      </w:r>
      <w:r w:rsidR="0043617A" w:rsidRPr="00330D57">
        <w:rPr>
          <w:rFonts w:ascii="Franklin Gothic Book" w:hAnsi="Franklin Gothic Book" w:cs="Arial"/>
          <w:b/>
          <w:color w:val="38939B"/>
          <w:sz w:val="24"/>
        </w:rPr>
        <w:t>ed</w:t>
      </w:r>
      <w:r w:rsidR="00E060F5" w:rsidRPr="00330D57">
        <w:rPr>
          <w:rFonts w:ascii="Franklin Gothic Book" w:hAnsi="Franklin Gothic Book" w:cs="Arial"/>
          <w:b/>
          <w:color w:val="38939B"/>
          <w:sz w:val="24"/>
        </w:rPr>
        <w:t>?</w:t>
      </w:r>
    </w:p>
    <w:p w14:paraId="1EEEE587" w14:textId="10A39A2C" w:rsidR="006950A3" w:rsidRDefault="003F2626"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szCs w:val="20"/>
        </w:rPr>
        <w:t xml:space="preserve">DHW will </w:t>
      </w:r>
      <w:r w:rsidR="0043617A">
        <w:rPr>
          <w:rFonts w:ascii="Franklin Gothic Book" w:hAnsi="Franklin Gothic Book" w:cs="Arial"/>
          <w:sz w:val="20"/>
          <w:szCs w:val="20"/>
        </w:rPr>
        <w:t>update</w:t>
      </w:r>
      <w:r w:rsidR="0043617A" w:rsidRPr="00330D57">
        <w:rPr>
          <w:rFonts w:ascii="Franklin Gothic Book" w:hAnsi="Franklin Gothic Book" w:cs="Arial"/>
          <w:sz w:val="20"/>
          <w:szCs w:val="20"/>
        </w:rPr>
        <w:t xml:space="preserve"> </w:t>
      </w:r>
      <w:r w:rsidR="00E060F5" w:rsidRPr="00330D57">
        <w:rPr>
          <w:rFonts w:ascii="Franklin Gothic Book" w:hAnsi="Franklin Gothic Book" w:cs="Arial"/>
          <w:sz w:val="20"/>
          <w:szCs w:val="20"/>
        </w:rPr>
        <w:t>t</w:t>
      </w:r>
      <w:r w:rsidRPr="00330D57">
        <w:rPr>
          <w:rFonts w:ascii="Franklin Gothic Book" w:hAnsi="Franklin Gothic Book" w:cs="Arial"/>
          <w:sz w:val="20"/>
          <w:szCs w:val="20"/>
        </w:rPr>
        <w:t xml:space="preserve">he </w:t>
      </w:r>
      <w:proofErr w:type="spellStart"/>
      <w:r w:rsidR="001723CE">
        <w:rPr>
          <w:rFonts w:ascii="Franklin Gothic Book" w:hAnsi="Franklin Gothic Book" w:cs="Arial"/>
          <w:sz w:val="20"/>
          <w:szCs w:val="20"/>
        </w:rPr>
        <w:t>Solventum</w:t>
      </w:r>
      <w:proofErr w:type="spellEnd"/>
      <w:r w:rsidR="000436C6" w:rsidRPr="00330D57">
        <w:rPr>
          <w:rFonts w:ascii="Franklin Gothic Book" w:hAnsi="Franklin Gothic Book" w:cs="Arial"/>
          <w:sz w:val="20"/>
          <w:szCs w:val="20"/>
        </w:rPr>
        <w:t xml:space="preserve"> </w:t>
      </w:r>
      <w:r w:rsidR="00423B12">
        <w:rPr>
          <w:rFonts w:ascii="Franklin Gothic Book" w:hAnsi="Franklin Gothic Book" w:cs="Arial"/>
          <w:sz w:val="20"/>
          <w:szCs w:val="20"/>
        </w:rPr>
        <w:t>APR DRG</w:t>
      </w:r>
      <w:r w:rsidRPr="00330D57">
        <w:rPr>
          <w:rFonts w:ascii="Franklin Gothic Book" w:hAnsi="Franklin Gothic Book" w:cs="Arial"/>
          <w:sz w:val="20"/>
          <w:szCs w:val="20"/>
        </w:rPr>
        <w:t xml:space="preserve"> grouper software and relative weights version</w:t>
      </w:r>
      <w:r w:rsidR="00C07029">
        <w:rPr>
          <w:rFonts w:ascii="Franklin Gothic Book" w:hAnsi="Franklin Gothic Book" w:cs="Arial"/>
          <w:sz w:val="20"/>
          <w:szCs w:val="20"/>
        </w:rPr>
        <w:t xml:space="preserve"> to </w:t>
      </w:r>
      <w:r w:rsidRPr="00330D57">
        <w:rPr>
          <w:rFonts w:ascii="Franklin Gothic Book" w:hAnsi="Franklin Gothic Book" w:cs="Arial"/>
          <w:sz w:val="20"/>
          <w:szCs w:val="20"/>
        </w:rPr>
        <w:t xml:space="preserve">version </w:t>
      </w:r>
      <w:r w:rsidR="00826301">
        <w:rPr>
          <w:rFonts w:ascii="Franklin Gothic Book" w:hAnsi="Franklin Gothic Book" w:cs="Arial"/>
          <w:sz w:val="20"/>
          <w:szCs w:val="20"/>
        </w:rPr>
        <w:t>41</w:t>
      </w:r>
      <w:r w:rsidR="00826301" w:rsidRPr="00330D57">
        <w:rPr>
          <w:rFonts w:ascii="Franklin Gothic Book" w:hAnsi="Franklin Gothic Book" w:cs="Arial"/>
          <w:sz w:val="20"/>
          <w:szCs w:val="20"/>
        </w:rPr>
        <w:t xml:space="preserve"> </w:t>
      </w:r>
      <w:r w:rsidR="00E060F5" w:rsidRPr="00330D57">
        <w:rPr>
          <w:rFonts w:ascii="Franklin Gothic Book" w:hAnsi="Franklin Gothic Book" w:cs="Arial"/>
          <w:sz w:val="20"/>
          <w:szCs w:val="20"/>
        </w:rPr>
        <w:t>(</w:t>
      </w:r>
      <w:r w:rsidRPr="00330D57">
        <w:rPr>
          <w:rFonts w:ascii="Franklin Gothic Book" w:hAnsi="Franklin Gothic Book" w:cs="Arial"/>
          <w:sz w:val="20"/>
          <w:szCs w:val="20"/>
        </w:rPr>
        <w:t xml:space="preserve">published on October 1, </w:t>
      </w:r>
      <w:r w:rsidR="00826301" w:rsidRPr="00330D57">
        <w:rPr>
          <w:rFonts w:ascii="Franklin Gothic Book" w:hAnsi="Franklin Gothic Book" w:cs="Arial"/>
          <w:sz w:val="20"/>
          <w:szCs w:val="20"/>
        </w:rPr>
        <w:t>202</w:t>
      </w:r>
      <w:r w:rsidR="00826301">
        <w:rPr>
          <w:rFonts w:ascii="Franklin Gothic Book" w:hAnsi="Franklin Gothic Book" w:cs="Arial"/>
          <w:sz w:val="20"/>
          <w:szCs w:val="20"/>
        </w:rPr>
        <w:t>3</w:t>
      </w:r>
      <w:r w:rsidR="00E060F5" w:rsidRPr="00330D57">
        <w:rPr>
          <w:rFonts w:ascii="Franklin Gothic Book" w:hAnsi="Franklin Gothic Book" w:cs="Arial"/>
          <w:sz w:val="20"/>
          <w:szCs w:val="20"/>
        </w:rPr>
        <w:t>)</w:t>
      </w:r>
      <w:r w:rsidR="0043617A">
        <w:rPr>
          <w:rFonts w:ascii="Franklin Gothic Book" w:hAnsi="Franklin Gothic Book" w:cs="Arial"/>
          <w:sz w:val="20"/>
          <w:szCs w:val="20"/>
        </w:rPr>
        <w:t xml:space="preserve">, on </w:t>
      </w:r>
      <w:r w:rsidR="00826301">
        <w:rPr>
          <w:rFonts w:ascii="Franklin Gothic Book" w:hAnsi="Franklin Gothic Book" w:cs="Arial"/>
          <w:sz w:val="20"/>
          <w:szCs w:val="20"/>
        </w:rPr>
        <w:t>O</w:t>
      </w:r>
      <w:r w:rsidR="00DE037C">
        <w:rPr>
          <w:rFonts w:ascii="Franklin Gothic Book" w:hAnsi="Franklin Gothic Book" w:cs="Arial"/>
          <w:sz w:val="20"/>
          <w:szCs w:val="20"/>
        </w:rPr>
        <w:t xml:space="preserve">\ </w:t>
      </w:r>
      <w:proofErr w:type="spellStart"/>
      <w:r w:rsidR="00826301">
        <w:rPr>
          <w:rFonts w:ascii="Franklin Gothic Book" w:hAnsi="Franklin Gothic Book" w:cs="Arial"/>
          <w:sz w:val="20"/>
          <w:szCs w:val="20"/>
        </w:rPr>
        <w:t>ctober</w:t>
      </w:r>
      <w:proofErr w:type="spellEnd"/>
      <w:r w:rsidR="00826301">
        <w:rPr>
          <w:rFonts w:ascii="Franklin Gothic Book" w:hAnsi="Franklin Gothic Book" w:cs="Arial"/>
          <w:sz w:val="20"/>
          <w:szCs w:val="20"/>
        </w:rPr>
        <w:t xml:space="preserve"> </w:t>
      </w:r>
      <w:r w:rsidR="0043617A">
        <w:rPr>
          <w:rFonts w:ascii="Franklin Gothic Book" w:hAnsi="Franklin Gothic Book" w:cs="Arial"/>
          <w:sz w:val="20"/>
          <w:szCs w:val="20"/>
        </w:rPr>
        <w:t>1, 202</w:t>
      </w:r>
      <w:r w:rsidR="00826301">
        <w:rPr>
          <w:rFonts w:ascii="Franklin Gothic Book" w:hAnsi="Franklin Gothic Book" w:cs="Arial"/>
          <w:sz w:val="20"/>
          <w:szCs w:val="20"/>
        </w:rPr>
        <w:t>4</w:t>
      </w:r>
      <w:r w:rsidRPr="00330D57">
        <w:rPr>
          <w:rFonts w:ascii="Franklin Gothic Book" w:hAnsi="Franklin Gothic Book" w:cs="Arial"/>
          <w:sz w:val="20"/>
          <w:szCs w:val="20"/>
        </w:rPr>
        <w:t xml:space="preserve">. </w:t>
      </w:r>
      <w:r w:rsidR="0054246E" w:rsidRPr="00330D57">
        <w:rPr>
          <w:rFonts w:ascii="Franklin Gothic Book" w:hAnsi="Franklin Gothic Book" w:cs="Arial"/>
          <w:sz w:val="20"/>
        </w:rPr>
        <w:t xml:space="preserve">Version </w:t>
      </w:r>
      <w:r w:rsidR="00826301">
        <w:rPr>
          <w:rFonts w:ascii="Franklin Gothic Book" w:hAnsi="Franklin Gothic Book" w:cs="Arial"/>
          <w:sz w:val="20"/>
        </w:rPr>
        <w:t>41</w:t>
      </w:r>
      <w:r w:rsidR="0043617A" w:rsidRPr="00330D57">
        <w:rPr>
          <w:rFonts w:ascii="Franklin Gothic Book" w:hAnsi="Franklin Gothic Book" w:cs="Arial"/>
          <w:sz w:val="20"/>
        </w:rPr>
        <w:t xml:space="preserve"> </w:t>
      </w:r>
      <w:r w:rsidR="002239BC" w:rsidRPr="00330D57">
        <w:rPr>
          <w:rFonts w:ascii="Franklin Gothic Book" w:hAnsi="Franklin Gothic Book" w:cs="Arial"/>
          <w:sz w:val="20"/>
        </w:rPr>
        <w:t>comprises</w:t>
      </w:r>
      <w:r w:rsidR="0054246E" w:rsidRPr="00330D57">
        <w:rPr>
          <w:rFonts w:ascii="Franklin Gothic Book" w:hAnsi="Franklin Gothic Book" w:cs="Arial"/>
          <w:sz w:val="20"/>
        </w:rPr>
        <w:t xml:space="preserve"> 1</w:t>
      </w:r>
      <w:r w:rsidR="000924A9" w:rsidRPr="00330D57">
        <w:rPr>
          <w:rFonts w:ascii="Franklin Gothic Book" w:hAnsi="Franklin Gothic Book" w:cs="Arial"/>
          <w:sz w:val="20"/>
        </w:rPr>
        <w:t xml:space="preserve">, </w:t>
      </w:r>
      <w:r w:rsidR="00826301" w:rsidRPr="00330D57">
        <w:rPr>
          <w:rFonts w:ascii="Franklin Gothic Book" w:hAnsi="Franklin Gothic Book" w:cs="Arial"/>
          <w:sz w:val="20"/>
        </w:rPr>
        <w:t>33</w:t>
      </w:r>
      <w:r w:rsidR="00826301">
        <w:rPr>
          <w:rFonts w:ascii="Franklin Gothic Book" w:hAnsi="Franklin Gothic Book" w:cs="Arial"/>
          <w:sz w:val="20"/>
        </w:rPr>
        <w:t>8</w:t>
      </w:r>
      <w:r w:rsidR="00826301" w:rsidRPr="00330D57">
        <w:rPr>
          <w:rFonts w:ascii="Franklin Gothic Book" w:hAnsi="Franklin Gothic Book" w:cs="Arial"/>
          <w:sz w:val="20"/>
        </w:rPr>
        <w:t xml:space="preserve"> </w:t>
      </w:r>
      <w:proofErr w:type="spellStart"/>
      <w:r w:rsidR="001723CE">
        <w:rPr>
          <w:rFonts w:ascii="Franklin Gothic Book" w:hAnsi="Franklin Gothic Book" w:cs="Arial"/>
          <w:sz w:val="20"/>
        </w:rPr>
        <w:t>Solventum</w:t>
      </w:r>
      <w:proofErr w:type="spellEnd"/>
      <w:r w:rsidR="00A02557" w:rsidRPr="00330D57">
        <w:rPr>
          <w:rFonts w:ascii="Franklin Gothic Book" w:hAnsi="Franklin Gothic Book" w:cs="Arial"/>
          <w:sz w:val="20"/>
        </w:rPr>
        <w:t xml:space="preserve"> </w:t>
      </w:r>
      <w:r w:rsidR="00423B12">
        <w:rPr>
          <w:rFonts w:ascii="Franklin Gothic Book" w:hAnsi="Franklin Gothic Book" w:cs="Arial"/>
          <w:sz w:val="20"/>
        </w:rPr>
        <w:t>APR DRG</w:t>
      </w:r>
      <w:r w:rsidR="0054246E" w:rsidRPr="00330D57">
        <w:rPr>
          <w:rFonts w:ascii="Franklin Gothic Book" w:hAnsi="Franklin Gothic Book" w:cs="Arial"/>
          <w:sz w:val="20"/>
        </w:rPr>
        <w:t>s (</w:t>
      </w:r>
      <w:r w:rsidR="00826301" w:rsidRPr="00330D57">
        <w:rPr>
          <w:rFonts w:ascii="Franklin Gothic Book" w:hAnsi="Franklin Gothic Book" w:cs="Arial"/>
          <w:sz w:val="20"/>
        </w:rPr>
        <w:t>33</w:t>
      </w:r>
      <w:r w:rsidR="00826301">
        <w:rPr>
          <w:rFonts w:ascii="Franklin Gothic Book" w:hAnsi="Franklin Gothic Book" w:cs="Arial"/>
          <w:sz w:val="20"/>
        </w:rPr>
        <w:t>4</w:t>
      </w:r>
      <w:r w:rsidR="00826301" w:rsidRPr="00330D57">
        <w:rPr>
          <w:rFonts w:ascii="Franklin Gothic Book" w:hAnsi="Franklin Gothic Book" w:cs="Arial"/>
          <w:sz w:val="20"/>
        </w:rPr>
        <w:t xml:space="preserve"> </w:t>
      </w:r>
      <w:r w:rsidR="0054246E" w:rsidRPr="00330D57">
        <w:rPr>
          <w:rFonts w:ascii="Franklin Gothic Book" w:hAnsi="Franklin Gothic Book" w:cs="Arial"/>
          <w:sz w:val="20"/>
        </w:rPr>
        <w:t xml:space="preserve">base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54246E" w:rsidRPr="00330D57">
        <w:rPr>
          <w:rFonts w:ascii="Franklin Gothic Book" w:hAnsi="Franklin Gothic Book" w:cs="Arial"/>
          <w:sz w:val="20"/>
        </w:rPr>
        <w:t xml:space="preserve">s with 4 severities of illness each, plus two error/ungroupable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54246E" w:rsidRPr="00330D57">
        <w:rPr>
          <w:rFonts w:ascii="Franklin Gothic Book" w:hAnsi="Franklin Gothic Book" w:cs="Arial"/>
          <w:sz w:val="20"/>
        </w:rPr>
        <w:t>s)</w:t>
      </w:r>
      <w:r w:rsidR="002239BC" w:rsidRPr="00330D57">
        <w:rPr>
          <w:rFonts w:ascii="Franklin Gothic Book" w:hAnsi="Franklin Gothic Book" w:cs="Arial"/>
          <w:sz w:val="20"/>
        </w:rPr>
        <w:t>.</w:t>
      </w:r>
      <w:r w:rsidR="0043617A">
        <w:rPr>
          <w:rFonts w:ascii="Franklin Gothic Book" w:hAnsi="Franklin Gothic Book" w:cs="Arial"/>
          <w:sz w:val="20"/>
        </w:rPr>
        <w:t xml:space="preserve"> </w:t>
      </w:r>
    </w:p>
    <w:p w14:paraId="2BD9182B" w14:textId="77777777" w:rsidR="008713FA" w:rsidRPr="00330D57" w:rsidRDefault="008713FA" w:rsidP="00110CA9">
      <w:pPr>
        <w:pStyle w:val="ListParagraph"/>
        <w:spacing w:after="120" w:line="240" w:lineRule="auto"/>
        <w:ind w:left="360"/>
        <w:rPr>
          <w:rFonts w:ascii="Franklin Gothic Book" w:hAnsi="Franklin Gothic Book" w:cs="Arial"/>
          <w:sz w:val="20"/>
        </w:rPr>
      </w:pPr>
    </w:p>
    <w:p w14:paraId="4DE82583" w14:textId="454DD9CC" w:rsidR="00855924" w:rsidRPr="00330D57" w:rsidRDefault="00855924"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Which hospitals are included/excluded in the DRG payment system?</w:t>
      </w:r>
    </w:p>
    <w:p w14:paraId="7396948D" w14:textId="350121D7" w:rsidR="000B41EB" w:rsidRPr="00330D57" w:rsidRDefault="00073F75" w:rsidP="00110CA9">
      <w:pPr>
        <w:pStyle w:val="ListParagraph"/>
        <w:spacing w:after="120" w:line="240" w:lineRule="auto"/>
        <w:ind w:left="360"/>
        <w:rPr>
          <w:rFonts w:ascii="Franklin Gothic Book" w:hAnsi="Franklin Gothic Book" w:cs="Arial"/>
          <w:sz w:val="20"/>
        </w:rPr>
      </w:pPr>
      <w:bookmarkStart w:id="0" w:name="_Hlk71815064"/>
      <w:r w:rsidRPr="00330D57">
        <w:rPr>
          <w:rFonts w:ascii="Franklin Gothic Book" w:hAnsi="Franklin Gothic Book" w:cs="Arial"/>
          <w:sz w:val="20"/>
        </w:rPr>
        <w:t>Hospitals subject to</w:t>
      </w:r>
      <w:r w:rsidR="00A02557" w:rsidRPr="00330D57">
        <w:rPr>
          <w:rFonts w:ascii="Franklin Gothic Book" w:hAnsi="Franklin Gothic Book" w:cs="Arial"/>
          <w:sz w:val="20"/>
        </w:rPr>
        <w:t xml:space="preserve"> </w:t>
      </w:r>
      <w:r w:rsidRPr="00330D57">
        <w:rPr>
          <w:rFonts w:ascii="Franklin Gothic Book" w:hAnsi="Franklin Gothic Book" w:cs="Arial"/>
          <w:sz w:val="20"/>
        </w:rPr>
        <w:t xml:space="preserve">DRG payment include </w:t>
      </w:r>
      <w:r w:rsidR="000B41EB" w:rsidRPr="00330D57">
        <w:rPr>
          <w:rFonts w:ascii="Franklin Gothic Book" w:hAnsi="Franklin Gothic Book" w:cs="Arial"/>
          <w:sz w:val="20"/>
        </w:rPr>
        <w:t xml:space="preserve">all general acute care hospitals, psychiatric hospitals </w:t>
      </w:r>
      <w:r w:rsidR="00826301">
        <w:rPr>
          <w:rFonts w:ascii="Franklin Gothic Book" w:hAnsi="Franklin Gothic Book" w:cs="Arial"/>
          <w:sz w:val="20"/>
        </w:rPr>
        <w:t>(including</w:t>
      </w:r>
      <w:r w:rsidR="000B41EB" w:rsidRPr="00330D57">
        <w:rPr>
          <w:rFonts w:ascii="Franklin Gothic Book" w:hAnsi="Franklin Gothic Book" w:cs="Arial"/>
          <w:sz w:val="20"/>
        </w:rPr>
        <w:t xml:space="preserve"> Institutions of Mental Disease </w:t>
      </w:r>
      <w:r w:rsidR="00D25F72">
        <w:rPr>
          <w:rFonts w:ascii="Franklin Gothic Book" w:hAnsi="Franklin Gothic Book" w:cs="Arial"/>
          <w:sz w:val="20"/>
        </w:rPr>
        <w:t>[</w:t>
      </w:r>
      <w:r w:rsidR="000B41EB" w:rsidRPr="00330D57">
        <w:rPr>
          <w:rFonts w:ascii="Franklin Gothic Book" w:hAnsi="Franklin Gothic Book" w:cs="Arial"/>
          <w:sz w:val="20"/>
        </w:rPr>
        <w:t>IMDs</w:t>
      </w:r>
      <w:r w:rsidR="00D25F72">
        <w:rPr>
          <w:rFonts w:ascii="Franklin Gothic Book" w:hAnsi="Franklin Gothic Book" w:cs="Arial"/>
          <w:sz w:val="20"/>
        </w:rPr>
        <w:t>])</w:t>
      </w:r>
      <w:r w:rsidR="000B41EB" w:rsidRPr="00330D57">
        <w:rPr>
          <w:rFonts w:ascii="Franklin Gothic Book" w:hAnsi="Franklin Gothic Book" w:cs="Arial"/>
          <w:sz w:val="20"/>
        </w:rPr>
        <w:t xml:space="preserve">, rehabilitation hospitals, long-term acute care hospitals, and </w:t>
      </w:r>
      <w:r w:rsidR="00FF261C" w:rsidRPr="00330D57">
        <w:rPr>
          <w:rFonts w:ascii="Franklin Gothic Book" w:hAnsi="Franklin Gothic Book" w:cs="Arial"/>
          <w:sz w:val="20"/>
        </w:rPr>
        <w:t xml:space="preserve">all </w:t>
      </w:r>
      <w:r w:rsidR="000B41EB" w:rsidRPr="00330D57">
        <w:rPr>
          <w:rFonts w:ascii="Franklin Gothic Book" w:hAnsi="Franklin Gothic Book" w:cs="Arial"/>
          <w:sz w:val="20"/>
        </w:rPr>
        <w:t xml:space="preserve">out-of-state </w:t>
      </w:r>
      <w:r w:rsidR="00FF261C" w:rsidRPr="00330D57">
        <w:rPr>
          <w:rFonts w:ascii="Franklin Gothic Book" w:hAnsi="Franklin Gothic Book" w:cs="Arial"/>
          <w:sz w:val="20"/>
        </w:rPr>
        <w:t>(OOS) hospitals</w:t>
      </w:r>
      <w:r w:rsidR="00401331" w:rsidRPr="00330D57">
        <w:rPr>
          <w:rFonts w:ascii="Franklin Gothic Book" w:hAnsi="Franklin Gothic Book" w:cs="Arial"/>
          <w:sz w:val="20"/>
        </w:rPr>
        <w:t xml:space="preserve"> except </w:t>
      </w:r>
      <w:r w:rsidR="00A16D51">
        <w:rPr>
          <w:rFonts w:ascii="Franklin Gothic Book" w:hAnsi="Franklin Gothic Book" w:cs="Arial"/>
          <w:sz w:val="20"/>
        </w:rPr>
        <w:t>out-of-state</w:t>
      </w:r>
      <w:r w:rsidR="0043617A">
        <w:rPr>
          <w:rFonts w:ascii="Franklin Gothic Book" w:hAnsi="Franklin Gothic Book" w:cs="Arial"/>
          <w:sz w:val="20"/>
        </w:rPr>
        <w:t xml:space="preserve"> Critical Access Hospitals (CAHs)</w:t>
      </w:r>
      <w:r w:rsidR="00A16D51">
        <w:rPr>
          <w:rFonts w:ascii="Franklin Gothic Book" w:hAnsi="Franklin Gothic Book" w:cs="Arial"/>
          <w:sz w:val="20"/>
        </w:rPr>
        <w:t xml:space="preserve"> qualifying as a border CAH</w:t>
      </w:r>
      <w:r w:rsidR="00FF261C" w:rsidRPr="00330D57">
        <w:rPr>
          <w:rFonts w:ascii="Franklin Gothic Book" w:hAnsi="Franklin Gothic Book" w:cs="Arial"/>
          <w:sz w:val="20"/>
        </w:rPr>
        <w:t>.</w:t>
      </w:r>
      <w:r w:rsidR="00582714" w:rsidRPr="00330D57">
        <w:rPr>
          <w:rFonts w:ascii="Franklin Gothic Book" w:hAnsi="Franklin Gothic Book" w:cs="Arial"/>
          <w:sz w:val="20"/>
        </w:rPr>
        <w:t xml:space="preserve"> </w:t>
      </w:r>
      <w:r w:rsidR="000B41EB" w:rsidRPr="00330D57">
        <w:rPr>
          <w:rFonts w:ascii="Franklin Gothic Book" w:hAnsi="Franklin Gothic Book" w:cs="Arial"/>
          <w:sz w:val="20"/>
        </w:rPr>
        <w:t xml:space="preserve">Hospitals excluded from the DRG payment method are in-state CAHs, </w:t>
      </w:r>
      <w:r w:rsidR="0043617A">
        <w:rPr>
          <w:rFonts w:ascii="Franklin Gothic Book" w:hAnsi="Franklin Gothic Book" w:cs="Arial"/>
          <w:sz w:val="20"/>
        </w:rPr>
        <w:t xml:space="preserve">designated out-of-state </w:t>
      </w:r>
      <w:r w:rsidR="00C07029">
        <w:rPr>
          <w:rFonts w:ascii="Franklin Gothic Book" w:hAnsi="Franklin Gothic Book" w:cs="Arial"/>
          <w:sz w:val="20"/>
        </w:rPr>
        <w:t xml:space="preserve">border </w:t>
      </w:r>
      <w:r w:rsidR="0043617A">
        <w:rPr>
          <w:rFonts w:ascii="Franklin Gothic Book" w:hAnsi="Franklin Gothic Book" w:cs="Arial"/>
          <w:sz w:val="20"/>
        </w:rPr>
        <w:t xml:space="preserve">CAHs, </w:t>
      </w:r>
      <w:r w:rsidR="00D25F72">
        <w:rPr>
          <w:rFonts w:ascii="Franklin Gothic Book" w:hAnsi="Franklin Gothic Book" w:cs="Arial"/>
          <w:sz w:val="20"/>
        </w:rPr>
        <w:t xml:space="preserve">and </w:t>
      </w:r>
      <w:r w:rsidR="000B41EB" w:rsidRPr="00330D57">
        <w:rPr>
          <w:rFonts w:ascii="Franklin Gothic Book" w:hAnsi="Franklin Gothic Book" w:cs="Arial"/>
          <w:sz w:val="20"/>
        </w:rPr>
        <w:t>state-owned hospitals.</w:t>
      </w:r>
    </w:p>
    <w:bookmarkEnd w:id="0"/>
    <w:p w14:paraId="0AF0D234" w14:textId="77777777" w:rsidR="00C7175C" w:rsidRPr="00330D57" w:rsidRDefault="00C7175C" w:rsidP="00110CA9">
      <w:pPr>
        <w:pStyle w:val="ListParagraph"/>
        <w:spacing w:after="120" w:line="240" w:lineRule="auto"/>
        <w:ind w:left="360"/>
        <w:rPr>
          <w:rFonts w:ascii="Franklin Gothic Book" w:hAnsi="Franklin Gothic Book" w:cs="Arial"/>
          <w:sz w:val="20"/>
        </w:rPr>
      </w:pPr>
    </w:p>
    <w:p w14:paraId="48140FBD" w14:textId="6894A181" w:rsidR="002559A6" w:rsidRDefault="002559A6" w:rsidP="00110CA9">
      <w:pPr>
        <w:pStyle w:val="ListParagraph"/>
        <w:numPr>
          <w:ilvl w:val="0"/>
          <w:numId w:val="1"/>
        </w:numPr>
        <w:spacing w:after="120" w:line="240" w:lineRule="auto"/>
        <w:ind w:left="360"/>
        <w:rPr>
          <w:rFonts w:ascii="Franklin Gothic Book" w:hAnsi="Franklin Gothic Book" w:cs="Arial"/>
          <w:b/>
          <w:color w:val="38939B"/>
          <w:sz w:val="24"/>
        </w:rPr>
      </w:pPr>
      <w:r w:rsidRPr="002559A6">
        <w:rPr>
          <w:rFonts w:ascii="Franklin Gothic Book" w:hAnsi="Franklin Gothic Book" w:cs="Arial"/>
          <w:b/>
          <w:color w:val="38939B"/>
          <w:sz w:val="24"/>
        </w:rPr>
        <w:t xml:space="preserve">How will the hospital </w:t>
      </w:r>
      <w:proofErr w:type="gramStart"/>
      <w:r w:rsidRPr="002559A6">
        <w:rPr>
          <w:rFonts w:ascii="Franklin Gothic Book" w:hAnsi="Franklin Gothic Book" w:cs="Arial"/>
          <w:b/>
          <w:color w:val="38939B"/>
          <w:sz w:val="24"/>
        </w:rPr>
        <w:t>know</w:t>
      </w:r>
      <w:proofErr w:type="gramEnd"/>
      <w:r w:rsidRPr="002559A6">
        <w:rPr>
          <w:rFonts w:ascii="Franklin Gothic Book" w:hAnsi="Franklin Gothic Book" w:cs="Arial"/>
          <w:b/>
          <w:color w:val="38939B"/>
          <w:sz w:val="24"/>
        </w:rPr>
        <w:t xml:space="preserve"> it is included in the DRG payment system?</w:t>
      </w:r>
    </w:p>
    <w:p w14:paraId="5CB30E21" w14:textId="40FBF8C7" w:rsidR="002559A6" w:rsidRPr="002559A6" w:rsidRDefault="002559A6" w:rsidP="002559A6">
      <w:pPr>
        <w:pStyle w:val="ListParagraph"/>
        <w:spacing w:after="120" w:line="240" w:lineRule="auto"/>
        <w:ind w:left="360"/>
        <w:rPr>
          <w:rFonts w:ascii="Franklin Gothic Book" w:hAnsi="Franklin Gothic Book" w:cs="Arial"/>
          <w:sz w:val="20"/>
        </w:rPr>
      </w:pPr>
      <w:r w:rsidRPr="002559A6">
        <w:rPr>
          <w:rFonts w:ascii="Franklin Gothic Book" w:hAnsi="Franklin Gothic Book" w:cs="Arial"/>
          <w:sz w:val="20"/>
        </w:rPr>
        <w:t>In addition to the hospital type or hospital specialty listed above, all hospitals subject to DRG payments have an additional terms document, State of Idaho Medicaid Provider Agreement Additional Terms – Reimbursement for Hospital Services, outlining the DRG terms and conditions. Every hospital subject to DRG, including new hospitals, shall sign the additional terms document. Any hospital that does not have the additional terms document signed and o</w:t>
      </w:r>
      <w:r>
        <w:rPr>
          <w:rFonts w:ascii="Franklin Gothic Book" w:hAnsi="Franklin Gothic Book" w:cs="Arial"/>
          <w:sz w:val="20"/>
        </w:rPr>
        <w:t>n file wi</w:t>
      </w:r>
      <w:r w:rsidRPr="002559A6">
        <w:rPr>
          <w:rFonts w:ascii="Franklin Gothic Book" w:hAnsi="Franklin Gothic Book" w:cs="Arial"/>
          <w:sz w:val="20"/>
        </w:rPr>
        <w:t>ll have a hold put on its record and payment shall be held until all terms and conditions are met.</w:t>
      </w:r>
    </w:p>
    <w:p w14:paraId="5C31FDA0" w14:textId="77777777" w:rsidR="002559A6" w:rsidRPr="002559A6" w:rsidRDefault="002559A6" w:rsidP="002559A6">
      <w:pPr>
        <w:pStyle w:val="ListParagraph"/>
        <w:spacing w:after="120" w:line="240" w:lineRule="auto"/>
        <w:ind w:left="360"/>
        <w:rPr>
          <w:rFonts w:ascii="Franklin Gothic Book" w:hAnsi="Franklin Gothic Book" w:cs="Arial"/>
          <w:sz w:val="20"/>
        </w:rPr>
      </w:pPr>
    </w:p>
    <w:p w14:paraId="73D58A7F" w14:textId="311E5172" w:rsidR="002559A6" w:rsidRPr="00330D57" w:rsidRDefault="002559A6" w:rsidP="002559A6">
      <w:pPr>
        <w:pStyle w:val="ListParagraph"/>
        <w:spacing w:after="120" w:line="240" w:lineRule="auto"/>
        <w:ind w:left="360"/>
        <w:rPr>
          <w:rFonts w:ascii="Franklin Gothic Book" w:hAnsi="Franklin Gothic Book" w:cs="Arial"/>
          <w:sz w:val="20"/>
        </w:rPr>
      </w:pPr>
      <w:r w:rsidRPr="002559A6">
        <w:rPr>
          <w:rFonts w:ascii="Franklin Gothic Book" w:hAnsi="Franklin Gothic Book" w:cs="Arial"/>
          <w:sz w:val="20"/>
        </w:rPr>
        <w:t xml:space="preserve">The additional terms document serves as additional terms and conditions for hospitals, it is not meant to encompass all </w:t>
      </w:r>
      <w:proofErr w:type="spellStart"/>
      <w:r w:rsidR="001723CE">
        <w:rPr>
          <w:rFonts w:ascii="Franklin Gothic Book" w:hAnsi="Franklin Gothic Book" w:cs="Arial"/>
          <w:sz w:val="20"/>
        </w:rPr>
        <w:t>Solventum</w:t>
      </w:r>
      <w:proofErr w:type="spellEnd"/>
      <w:r>
        <w:rPr>
          <w:rFonts w:ascii="Franklin Gothic Book" w:hAnsi="Franklin Gothic Book" w:cs="Arial"/>
          <w:sz w:val="20"/>
        </w:rPr>
        <w:t xml:space="preserve"> </w:t>
      </w:r>
      <w:r w:rsidR="00423B12">
        <w:rPr>
          <w:rFonts w:ascii="Franklin Gothic Book" w:hAnsi="Franklin Gothic Book" w:cs="Arial"/>
          <w:sz w:val="20"/>
        </w:rPr>
        <w:t>APR DRG</w:t>
      </w:r>
      <w:r w:rsidRPr="002559A6">
        <w:rPr>
          <w:rFonts w:ascii="Franklin Gothic Book" w:hAnsi="Franklin Gothic Book" w:cs="Arial"/>
          <w:sz w:val="20"/>
        </w:rPr>
        <w:t xml:space="preserve"> information. Please use other materials, like the provider handbook, the </w:t>
      </w:r>
      <w:r>
        <w:rPr>
          <w:rFonts w:ascii="Franklin Gothic Book" w:hAnsi="Franklin Gothic Book" w:cs="Arial"/>
          <w:sz w:val="20"/>
        </w:rPr>
        <w:t>DRG</w:t>
      </w:r>
      <w:r w:rsidRPr="002559A6">
        <w:rPr>
          <w:rFonts w:ascii="Franklin Gothic Book" w:hAnsi="Franklin Gothic Book" w:cs="Arial"/>
          <w:sz w:val="20"/>
        </w:rPr>
        <w:t xml:space="preserve"> calculator, and Medicaid FAQs or updates, for information related to </w:t>
      </w:r>
      <w:r w:rsidR="00423B12">
        <w:rPr>
          <w:rFonts w:ascii="Franklin Gothic Book" w:hAnsi="Franklin Gothic Book" w:cs="Arial"/>
          <w:sz w:val="20"/>
        </w:rPr>
        <w:t>APR DRG</w:t>
      </w:r>
      <w:r w:rsidRPr="002559A6">
        <w:rPr>
          <w:rFonts w:ascii="Franklin Gothic Book" w:hAnsi="Franklin Gothic Book" w:cs="Arial"/>
          <w:sz w:val="20"/>
        </w:rPr>
        <w:t xml:space="preserve"> payments, methodologies, etc.</w:t>
      </w:r>
    </w:p>
    <w:p w14:paraId="2904B49F" w14:textId="77777777" w:rsidR="002559A6" w:rsidRDefault="002559A6" w:rsidP="0007069D">
      <w:pPr>
        <w:pStyle w:val="ListParagraph"/>
        <w:spacing w:after="120" w:line="240" w:lineRule="auto"/>
        <w:ind w:left="360"/>
        <w:rPr>
          <w:rFonts w:ascii="Franklin Gothic Book" w:hAnsi="Franklin Gothic Book" w:cs="Arial"/>
          <w:b/>
          <w:color w:val="38939B"/>
          <w:sz w:val="24"/>
        </w:rPr>
      </w:pPr>
    </w:p>
    <w:p w14:paraId="5CE7DACC" w14:textId="60235F83" w:rsidR="00547B26" w:rsidRPr="00330D57" w:rsidRDefault="00547B26"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Which services are included</w:t>
      </w:r>
      <w:r w:rsidR="006D443E" w:rsidRPr="00330D57">
        <w:rPr>
          <w:rFonts w:ascii="Franklin Gothic Book" w:hAnsi="Franklin Gothic Book" w:cs="Arial"/>
          <w:b/>
          <w:color w:val="38939B"/>
          <w:sz w:val="24"/>
        </w:rPr>
        <w:t xml:space="preserve"> </w:t>
      </w:r>
      <w:r w:rsidRPr="00330D57">
        <w:rPr>
          <w:rFonts w:ascii="Franklin Gothic Book" w:hAnsi="Franklin Gothic Book" w:cs="Arial"/>
          <w:b/>
          <w:color w:val="38939B"/>
          <w:sz w:val="24"/>
        </w:rPr>
        <w:t>in the DRG payment system?</w:t>
      </w:r>
      <w:r w:rsidR="006D443E" w:rsidRPr="00330D57">
        <w:rPr>
          <w:rFonts w:ascii="Franklin Gothic Book" w:hAnsi="Franklin Gothic Book" w:cs="Arial"/>
          <w:b/>
          <w:color w:val="38939B"/>
          <w:sz w:val="24"/>
        </w:rPr>
        <w:t xml:space="preserve"> Are any services excluded?</w:t>
      </w:r>
    </w:p>
    <w:p w14:paraId="33B21876" w14:textId="534C0F2C" w:rsidR="00E219DD" w:rsidRPr="00330D57" w:rsidRDefault="00C17CD8"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The DRG payment methodology applies to all </w:t>
      </w:r>
      <w:r w:rsidR="00276742" w:rsidRPr="00330D57">
        <w:rPr>
          <w:rFonts w:ascii="Franklin Gothic Book" w:hAnsi="Franklin Gothic Book" w:cs="Arial"/>
          <w:sz w:val="20"/>
        </w:rPr>
        <w:t xml:space="preserve">inpatient </w:t>
      </w:r>
      <w:r w:rsidR="003C55A6" w:rsidRPr="00330D57">
        <w:rPr>
          <w:rFonts w:ascii="Franklin Gothic Book" w:hAnsi="Franklin Gothic Book" w:cs="Arial"/>
          <w:sz w:val="20"/>
        </w:rPr>
        <w:t xml:space="preserve">hospital </w:t>
      </w:r>
      <w:r w:rsidRPr="00330D57">
        <w:rPr>
          <w:rFonts w:ascii="Franklin Gothic Book" w:hAnsi="Franklin Gothic Book" w:cs="Arial"/>
          <w:sz w:val="20"/>
        </w:rPr>
        <w:t xml:space="preserve">services </w:t>
      </w:r>
      <w:r w:rsidR="003C55A6" w:rsidRPr="00330D57">
        <w:rPr>
          <w:rFonts w:ascii="Franklin Gothic Book" w:hAnsi="Franklin Gothic Book" w:cs="Arial"/>
          <w:sz w:val="20"/>
        </w:rPr>
        <w:t>provided by</w:t>
      </w:r>
      <w:r w:rsidRPr="00330D57">
        <w:rPr>
          <w:rFonts w:ascii="Franklin Gothic Book" w:hAnsi="Franklin Gothic Book" w:cs="Arial"/>
          <w:sz w:val="20"/>
        </w:rPr>
        <w:t xml:space="preserve"> ho</w:t>
      </w:r>
      <w:r w:rsidR="00276742" w:rsidRPr="00330D57">
        <w:rPr>
          <w:rFonts w:ascii="Franklin Gothic Book" w:hAnsi="Franklin Gothic Book" w:cs="Arial"/>
          <w:sz w:val="20"/>
        </w:rPr>
        <w:t xml:space="preserve">spitals subject to DRG payment. </w:t>
      </w:r>
      <w:r w:rsidR="006937C1">
        <w:rPr>
          <w:rFonts w:ascii="Franklin Gothic Book" w:hAnsi="Franklin Gothic Book" w:cs="Arial"/>
          <w:sz w:val="20"/>
        </w:rPr>
        <w:t xml:space="preserve">Claims with a behavioral health admitting or primary diagnosis are excluded from DRG payment. </w:t>
      </w:r>
      <w:r w:rsidR="006D443E" w:rsidRPr="00330D57">
        <w:rPr>
          <w:rFonts w:ascii="Franklin Gothic Book" w:hAnsi="Franklin Gothic Book" w:cs="Arial"/>
          <w:sz w:val="20"/>
        </w:rPr>
        <w:t xml:space="preserve">The </w:t>
      </w:r>
      <w:r w:rsidR="006937C1">
        <w:rPr>
          <w:rFonts w:ascii="Franklin Gothic Book" w:hAnsi="Franklin Gothic Book" w:cs="Arial"/>
          <w:sz w:val="20"/>
        </w:rPr>
        <w:t>other</w:t>
      </w:r>
      <w:r w:rsidR="006D443E" w:rsidRPr="00330D57">
        <w:rPr>
          <w:rFonts w:ascii="Franklin Gothic Book" w:hAnsi="Franklin Gothic Book" w:cs="Arial"/>
          <w:sz w:val="20"/>
        </w:rPr>
        <w:t xml:space="preserve"> </w:t>
      </w:r>
      <w:r w:rsidR="003C55A6" w:rsidRPr="00330D57">
        <w:rPr>
          <w:rFonts w:ascii="Franklin Gothic Book" w:hAnsi="Franklin Gothic Book" w:cs="Arial"/>
          <w:sz w:val="20"/>
        </w:rPr>
        <w:t>exclusion from the</w:t>
      </w:r>
      <w:r w:rsidR="006D443E" w:rsidRPr="00330D57">
        <w:rPr>
          <w:rFonts w:ascii="Franklin Gothic Book" w:hAnsi="Franklin Gothic Book" w:cs="Arial"/>
          <w:sz w:val="20"/>
        </w:rPr>
        <w:t xml:space="preserve"> DRG payment is for Medicare crossover stays (dually eligible beneficiaries) where Medicare is the primary payer and Medicaid is the secondary payer.</w:t>
      </w:r>
    </w:p>
    <w:p w14:paraId="5261420E" w14:textId="77777777" w:rsidR="00E219DD" w:rsidRPr="00330D57" w:rsidRDefault="00E219DD" w:rsidP="00110CA9">
      <w:pPr>
        <w:pStyle w:val="ListParagraph"/>
        <w:spacing w:after="120" w:line="240" w:lineRule="auto"/>
        <w:ind w:left="360"/>
        <w:rPr>
          <w:rFonts w:ascii="Franklin Gothic Book" w:hAnsi="Franklin Gothic Book" w:cs="Arial"/>
          <w:sz w:val="20"/>
        </w:rPr>
      </w:pPr>
    </w:p>
    <w:p w14:paraId="782FEF18" w14:textId="4E0D7766" w:rsidR="00E219DD" w:rsidRPr="00330D57" w:rsidRDefault="00E219DD"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Will inpatient behavioral health/psychiatric services be included in the DRG methodology?</w:t>
      </w:r>
    </w:p>
    <w:p w14:paraId="61F46E04" w14:textId="40F55AE9" w:rsidR="00E060F5" w:rsidRPr="00330D57" w:rsidRDefault="006937C1" w:rsidP="00110CA9">
      <w:pPr>
        <w:pStyle w:val="ListParagraph"/>
        <w:spacing w:after="120" w:line="240" w:lineRule="auto"/>
        <w:ind w:left="360"/>
        <w:rPr>
          <w:rFonts w:ascii="Franklin Gothic Book" w:hAnsi="Franklin Gothic Book" w:cs="Arial"/>
          <w:sz w:val="20"/>
        </w:rPr>
      </w:pPr>
      <w:r>
        <w:rPr>
          <w:rFonts w:ascii="Franklin Gothic Book" w:hAnsi="Franklin Gothic Book" w:cs="Arial"/>
          <w:sz w:val="20"/>
        </w:rPr>
        <w:t>While i</w:t>
      </w:r>
      <w:r w:rsidR="00E219DD" w:rsidRPr="00330D57">
        <w:rPr>
          <w:rFonts w:ascii="Franklin Gothic Book" w:hAnsi="Franklin Gothic Book" w:cs="Arial"/>
          <w:sz w:val="20"/>
        </w:rPr>
        <w:t xml:space="preserve">npatient behavioral health/psychiatric services </w:t>
      </w:r>
      <w:r w:rsidR="00A16D51">
        <w:rPr>
          <w:rFonts w:ascii="Franklin Gothic Book" w:hAnsi="Franklin Gothic Book" w:cs="Arial"/>
          <w:sz w:val="20"/>
        </w:rPr>
        <w:t>are</w:t>
      </w:r>
      <w:r w:rsidR="00E219DD" w:rsidRPr="00330D57">
        <w:rPr>
          <w:rFonts w:ascii="Franklin Gothic Book" w:hAnsi="Franklin Gothic Book" w:cs="Arial"/>
          <w:sz w:val="20"/>
        </w:rPr>
        <w:t xml:space="preserve"> included in the DRG methodology (</w:t>
      </w:r>
      <w:proofErr w:type="spellStart"/>
      <w:r w:rsidR="001723CE">
        <w:rPr>
          <w:rFonts w:ascii="Franklin Gothic Book" w:hAnsi="Franklin Gothic Book" w:cs="Arial"/>
          <w:sz w:val="20"/>
        </w:rPr>
        <w:t>Solventum</w:t>
      </w:r>
      <w:proofErr w:type="spellEnd"/>
      <w:r w:rsidR="00A02557" w:rsidRPr="00330D57">
        <w:rPr>
          <w:rFonts w:ascii="Franklin Gothic Book" w:hAnsi="Franklin Gothic Book" w:cs="Arial"/>
          <w:sz w:val="20"/>
        </w:rPr>
        <w:t xml:space="preserve"> </w:t>
      </w:r>
      <w:r w:rsidR="00423B12">
        <w:rPr>
          <w:rFonts w:ascii="Franklin Gothic Book" w:hAnsi="Franklin Gothic Book" w:cs="Arial"/>
          <w:sz w:val="20"/>
        </w:rPr>
        <w:t>APR DRG</w:t>
      </w:r>
      <w:r w:rsidR="00E219DD" w:rsidRPr="00330D57">
        <w:rPr>
          <w:rFonts w:ascii="Franklin Gothic Book" w:hAnsi="Franklin Gothic Book" w:cs="Arial"/>
          <w:sz w:val="20"/>
        </w:rPr>
        <w:t>s 750-776)</w:t>
      </w:r>
      <w:r>
        <w:rPr>
          <w:rFonts w:ascii="Franklin Gothic Book" w:hAnsi="Franklin Gothic Book" w:cs="Arial"/>
          <w:sz w:val="20"/>
        </w:rPr>
        <w:t>, claims with an admitting or primary behavioral health diagnosis will no longer be paid by DRG as of October 1, 2024.</w:t>
      </w:r>
      <w:r w:rsidR="00E219DD" w:rsidRPr="00330D57">
        <w:rPr>
          <w:rFonts w:ascii="Franklin Gothic Book" w:hAnsi="Franklin Gothic Book" w:cs="Arial"/>
          <w:sz w:val="20"/>
        </w:rPr>
        <w:t xml:space="preserve"> </w:t>
      </w:r>
    </w:p>
    <w:p w14:paraId="792D8ADB" w14:textId="77777777" w:rsidR="00E219DD" w:rsidRPr="00330D57" w:rsidRDefault="00E219DD" w:rsidP="00110CA9">
      <w:pPr>
        <w:pStyle w:val="ListParagraph"/>
        <w:spacing w:after="120" w:line="240" w:lineRule="auto"/>
        <w:ind w:left="360"/>
        <w:rPr>
          <w:rFonts w:ascii="Franklin Gothic Book" w:hAnsi="Franklin Gothic Book" w:cs="Arial"/>
          <w:sz w:val="20"/>
        </w:rPr>
      </w:pPr>
    </w:p>
    <w:p w14:paraId="6334F9FA" w14:textId="1CB168A9" w:rsidR="00E060F5" w:rsidRPr="00330D57" w:rsidRDefault="00E060F5"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Does the DRG system apply to reimbursement for physician services?</w:t>
      </w:r>
    </w:p>
    <w:p w14:paraId="0266E6EE" w14:textId="5D08EEA3" w:rsidR="00137B75" w:rsidRPr="00330D57" w:rsidRDefault="00E060F5"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No. DRG payments apply only to the facility portion of reimbursement. All physician services should continue to be billed as professional claims (i.e., CMS-1500).</w:t>
      </w:r>
    </w:p>
    <w:p w14:paraId="40B5FCA5" w14:textId="77777777" w:rsidR="00E060F5" w:rsidRPr="00330D57" w:rsidRDefault="00E060F5" w:rsidP="00110CA9">
      <w:pPr>
        <w:pStyle w:val="ListParagraph"/>
        <w:spacing w:after="120" w:line="240" w:lineRule="auto"/>
        <w:ind w:left="360"/>
        <w:rPr>
          <w:rFonts w:ascii="Franklin Gothic Book" w:hAnsi="Franklin Gothic Book" w:cs="Arial"/>
          <w:sz w:val="20"/>
        </w:rPr>
      </w:pPr>
    </w:p>
    <w:p w14:paraId="20AA2B06" w14:textId="77777777" w:rsidR="00313AD2" w:rsidRPr="00330D57" w:rsidRDefault="00313AD2"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Will hospitals be required to change their coding and billing practices?</w:t>
      </w:r>
    </w:p>
    <w:p w14:paraId="3B4150EF" w14:textId="36980048" w:rsidR="00137B75" w:rsidRPr="00330D57" w:rsidRDefault="00137B75"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No. </w:t>
      </w:r>
      <w:r w:rsidR="003F2626" w:rsidRPr="00330D57">
        <w:rPr>
          <w:rFonts w:ascii="Franklin Gothic Book" w:hAnsi="Franklin Gothic Book" w:cs="Arial"/>
          <w:sz w:val="20"/>
        </w:rPr>
        <w:t xml:space="preserve">Assignment of the </w:t>
      </w:r>
      <w:proofErr w:type="spellStart"/>
      <w:r w:rsidR="001723CE">
        <w:rPr>
          <w:rFonts w:ascii="Franklin Gothic Book" w:hAnsi="Franklin Gothic Book" w:cs="Arial"/>
          <w:sz w:val="20"/>
        </w:rPr>
        <w:t>Solventum</w:t>
      </w:r>
      <w:proofErr w:type="spellEnd"/>
      <w:r w:rsidR="00A02557" w:rsidRPr="00330D57">
        <w:rPr>
          <w:rFonts w:ascii="Franklin Gothic Book" w:hAnsi="Franklin Gothic Book" w:cs="Arial"/>
          <w:sz w:val="20"/>
        </w:rPr>
        <w:t xml:space="preserve"> </w:t>
      </w:r>
      <w:r w:rsidR="00423B12">
        <w:rPr>
          <w:rFonts w:ascii="Franklin Gothic Book" w:hAnsi="Franklin Gothic Book" w:cs="Arial"/>
          <w:sz w:val="20"/>
        </w:rPr>
        <w:t>APR DRG</w:t>
      </w:r>
      <w:r w:rsidR="003F2626" w:rsidRPr="00330D57">
        <w:rPr>
          <w:rFonts w:ascii="Franklin Gothic Book" w:hAnsi="Franklin Gothic Book" w:cs="Arial"/>
          <w:sz w:val="20"/>
        </w:rPr>
        <w:t xml:space="preserve"> and payment calculations are based on information already on the inpatient hospital claim (UB-04). Hospitals should ensure that coding is complete</w:t>
      </w:r>
      <w:r w:rsidR="00D272F3" w:rsidRPr="00330D57">
        <w:rPr>
          <w:rFonts w:ascii="Franklin Gothic Book" w:hAnsi="Franklin Gothic Book" w:cs="Arial"/>
          <w:sz w:val="20"/>
        </w:rPr>
        <w:t xml:space="preserve"> and</w:t>
      </w:r>
      <w:r w:rsidR="003F2626" w:rsidRPr="00330D57">
        <w:rPr>
          <w:rFonts w:ascii="Franklin Gothic Book" w:hAnsi="Franklin Gothic Book" w:cs="Arial"/>
          <w:sz w:val="20"/>
        </w:rPr>
        <w:t xml:space="preserve"> accurate.</w:t>
      </w:r>
    </w:p>
    <w:p w14:paraId="53CAACCD" w14:textId="77777777" w:rsidR="00C642E4" w:rsidRPr="00330D57" w:rsidRDefault="00C642E4" w:rsidP="00110CA9">
      <w:pPr>
        <w:pStyle w:val="ListParagraph"/>
        <w:spacing w:after="120" w:line="240" w:lineRule="auto"/>
        <w:ind w:left="360"/>
        <w:rPr>
          <w:rFonts w:ascii="Franklin Gothic Book" w:hAnsi="Franklin Gothic Book" w:cs="Arial"/>
          <w:sz w:val="20"/>
        </w:rPr>
      </w:pPr>
    </w:p>
    <w:p w14:paraId="2154155B" w14:textId="3D046757" w:rsidR="00C642E4" w:rsidRPr="00330D57" w:rsidRDefault="00C642E4"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Do hospitals have to submit the </w:t>
      </w:r>
      <w:proofErr w:type="spellStart"/>
      <w:r w:rsidR="001723CE">
        <w:rPr>
          <w:rFonts w:ascii="Franklin Gothic Book" w:hAnsi="Franklin Gothic Book" w:cs="Arial"/>
          <w:b/>
          <w:color w:val="38939B"/>
          <w:sz w:val="24"/>
        </w:rPr>
        <w:t>Solventum</w:t>
      </w:r>
      <w:proofErr w:type="spellEnd"/>
      <w:r w:rsidR="00A02557" w:rsidRPr="00330D57">
        <w:rPr>
          <w:rFonts w:ascii="Franklin Gothic Book" w:hAnsi="Franklin Gothic Book" w:cs="Arial"/>
          <w:b/>
          <w:color w:val="38939B"/>
          <w:sz w:val="24"/>
        </w:rPr>
        <w:t xml:space="preserve"> </w:t>
      </w:r>
      <w:r w:rsidR="00423B12">
        <w:rPr>
          <w:rFonts w:ascii="Franklin Gothic Book" w:hAnsi="Franklin Gothic Book" w:cs="Arial"/>
          <w:b/>
          <w:color w:val="38939B"/>
          <w:sz w:val="24"/>
        </w:rPr>
        <w:t>APR DRG</w:t>
      </w:r>
      <w:r w:rsidRPr="00330D57">
        <w:rPr>
          <w:rFonts w:ascii="Franklin Gothic Book" w:hAnsi="Franklin Gothic Book" w:cs="Arial"/>
          <w:b/>
          <w:color w:val="38939B"/>
          <w:sz w:val="24"/>
        </w:rPr>
        <w:t xml:space="preserve"> on their inpatient claims?</w:t>
      </w:r>
    </w:p>
    <w:p w14:paraId="31C41894" w14:textId="457EC57C" w:rsidR="00C642E4" w:rsidRPr="00330D57" w:rsidRDefault="00C642E4"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No. </w:t>
      </w:r>
      <w:r w:rsidR="00A02557" w:rsidRPr="00330D57">
        <w:rPr>
          <w:rFonts w:ascii="Franklin Gothic Book" w:hAnsi="Franklin Gothic Book" w:cs="Arial"/>
          <w:sz w:val="20"/>
        </w:rPr>
        <w:t xml:space="preserve">The </w:t>
      </w:r>
      <w:proofErr w:type="spellStart"/>
      <w:r w:rsidR="001723CE">
        <w:rPr>
          <w:rFonts w:ascii="Franklin Gothic Book" w:hAnsi="Franklin Gothic Book" w:cs="Arial"/>
          <w:sz w:val="20"/>
        </w:rPr>
        <w:t>Solventum</w:t>
      </w:r>
      <w:proofErr w:type="spellEnd"/>
      <w:r w:rsidR="00A02557"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software uses information included on inpatient claims to assign </w:t>
      </w:r>
      <w:r w:rsidR="00D272F3" w:rsidRPr="00330D57">
        <w:rPr>
          <w:rFonts w:ascii="Franklin Gothic Book" w:hAnsi="Franklin Gothic Book" w:cs="Arial"/>
          <w:sz w:val="20"/>
        </w:rPr>
        <w:t xml:space="preserve">the </w:t>
      </w:r>
      <w:proofErr w:type="spellStart"/>
      <w:r w:rsidR="001723CE">
        <w:rPr>
          <w:rFonts w:ascii="Franklin Gothic Book" w:hAnsi="Franklin Gothic Book" w:cs="Arial"/>
          <w:sz w:val="20"/>
        </w:rPr>
        <w:t>Solventum</w:t>
      </w:r>
      <w:proofErr w:type="spellEnd"/>
      <w:r w:rsidR="00A02557"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to claims.</w:t>
      </w:r>
    </w:p>
    <w:p w14:paraId="129C8647" w14:textId="77777777" w:rsidR="00C642E4" w:rsidRPr="00330D57" w:rsidRDefault="00C642E4" w:rsidP="00110CA9">
      <w:pPr>
        <w:pStyle w:val="ListParagraph"/>
        <w:spacing w:after="120" w:line="240" w:lineRule="auto"/>
        <w:ind w:left="360"/>
        <w:rPr>
          <w:rFonts w:ascii="Franklin Gothic Book" w:hAnsi="Franklin Gothic Book" w:cs="Arial"/>
          <w:sz w:val="20"/>
        </w:rPr>
      </w:pPr>
    </w:p>
    <w:p w14:paraId="19D7FC94" w14:textId="64A55416" w:rsidR="00831251" w:rsidRPr="00330D57" w:rsidRDefault="00831251"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What are </w:t>
      </w:r>
      <w:proofErr w:type="spellStart"/>
      <w:r w:rsidR="001723CE">
        <w:rPr>
          <w:rFonts w:ascii="Franklin Gothic Book" w:hAnsi="Franklin Gothic Book" w:cs="Arial"/>
          <w:b/>
          <w:color w:val="38939B"/>
          <w:sz w:val="24"/>
        </w:rPr>
        <w:t>Solventum</w:t>
      </w:r>
      <w:proofErr w:type="spellEnd"/>
      <w:r w:rsidR="0072193E" w:rsidRPr="00330D57">
        <w:rPr>
          <w:rFonts w:ascii="Franklin Gothic Book" w:hAnsi="Franklin Gothic Book" w:cs="Arial"/>
          <w:b/>
          <w:color w:val="38939B"/>
          <w:sz w:val="24"/>
        </w:rPr>
        <w:t xml:space="preserve"> </w:t>
      </w:r>
      <w:r w:rsidR="00423B12">
        <w:rPr>
          <w:rFonts w:ascii="Franklin Gothic Book" w:hAnsi="Franklin Gothic Book" w:cs="Arial"/>
          <w:b/>
          <w:color w:val="38939B"/>
          <w:sz w:val="24"/>
        </w:rPr>
        <w:t>APR DRG</w:t>
      </w:r>
      <w:r w:rsidRPr="00330D57">
        <w:rPr>
          <w:rFonts w:ascii="Franklin Gothic Book" w:hAnsi="Franklin Gothic Book" w:cs="Arial"/>
          <w:b/>
          <w:color w:val="38939B"/>
          <w:sz w:val="24"/>
        </w:rPr>
        <w:t xml:space="preserve"> relative weights? How are they calculated? </w:t>
      </w:r>
    </w:p>
    <w:p w14:paraId="0E0188BE" w14:textId="50FEAF62" w:rsidR="00575DF6" w:rsidRPr="00330D57" w:rsidRDefault="001723CE" w:rsidP="00110CA9">
      <w:pPr>
        <w:pStyle w:val="ListParagraph"/>
        <w:spacing w:after="120" w:line="240" w:lineRule="auto"/>
        <w:ind w:left="360"/>
        <w:rPr>
          <w:rFonts w:ascii="Franklin Gothic Book" w:hAnsi="Franklin Gothic Book" w:cs="Arial"/>
          <w:sz w:val="20"/>
        </w:rPr>
      </w:pPr>
      <w:proofErr w:type="spellStart"/>
      <w:r>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831251" w:rsidRPr="00330D57">
        <w:rPr>
          <w:rFonts w:ascii="Franklin Gothic Book" w:hAnsi="Franklin Gothic Book" w:cs="Arial"/>
          <w:sz w:val="20"/>
        </w:rPr>
        <w:t xml:space="preserve"> relative weights represent the typical resource use and cost of each </w:t>
      </w:r>
      <w:proofErr w:type="spellStart"/>
      <w:r>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3035A3" w:rsidRPr="00330D57">
        <w:rPr>
          <w:rFonts w:ascii="Franklin Gothic Book" w:hAnsi="Franklin Gothic Book" w:cs="Arial"/>
          <w:sz w:val="20"/>
        </w:rPr>
        <w:t xml:space="preserve"> and are used to calculate DRG payments (see Question </w:t>
      </w:r>
      <w:r w:rsidR="00206064" w:rsidRPr="00330D57">
        <w:rPr>
          <w:rFonts w:ascii="Franklin Gothic Book" w:hAnsi="Franklin Gothic Book" w:cs="Arial"/>
          <w:sz w:val="20"/>
        </w:rPr>
        <w:t>1</w:t>
      </w:r>
      <w:r w:rsidR="00206064">
        <w:rPr>
          <w:rFonts w:ascii="Franklin Gothic Book" w:hAnsi="Franklin Gothic Book" w:cs="Arial"/>
          <w:sz w:val="20"/>
        </w:rPr>
        <w:t>4</w:t>
      </w:r>
      <w:r w:rsidR="003035A3" w:rsidRPr="00330D57">
        <w:rPr>
          <w:rFonts w:ascii="Franklin Gothic Book" w:hAnsi="Franklin Gothic Book" w:cs="Arial"/>
          <w:sz w:val="20"/>
        </w:rPr>
        <w:t>)</w:t>
      </w:r>
      <w:r w:rsidR="00831251" w:rsidRPr="00330D57">
        <w:rPr>
          <w:rFonts w:ascii="Franklin Gothic Book" w:hAnsi="Franklin Gothic Book" w:cs="Arial"/>
          <w:sz w:val="20"/>
        </w:rPr>
        <w:t xml:space="preserve">. </w:t>
      </w:r>
      <w:proofErr w:type="spellStart"/>
      <w:r>
        <w:rPr>
          <w:rFonts w:ascii="Franklin Gothic Book" w:hAnsi="Franklin Gothic Book" w:cs="Arial"/>
          <w:sz w:val="20"/>
        </w:rPr>
        <w:t>Solventum</w:t>
      </w:r>
      <w:proofErr w:type="spellEnd"/>
      <w:r w:rsidR="00831251" w:rsidRPr="00330D57">
        <w:rPr>
          <w:rFonts w:ascii="Franklin Gothic Book" w:hAnsi="Franklin Gothic Book" w:cs="Arial"/>
          <w:sz w:val="20"/>
        </w:rPr>
        <w:t xml:space="preserve"> calculate</w:t>
      </w:r>
      <w:r w:rsidR="00437522" w:rsidRPr="00330D57">
        <w:rPr>
          <w:rFonts w:ascii="Franklin Gothic Book" w:hAnsi="Franklin Gothic Book" w:cs="Arial"/>
          <w:sz w:val="20"/>
        </w:rPr>
        <w:t xml:space="preserve">d </w:t>
      </w:r>
      <w:proofErr w:type="spellStart"/>
      <w:r>
        <w:rPr>
          <w:rFonts w:ascii="Franklin Gothic Book" w:hAnsi="Franklin Gothic Book" w:cs="Arial"/>
          <w:sz w:val="20"/>
        </w:rPr>
        <w:t>Solventum</w:t>
      </w:r>
      <w:proofErr w:type="spellEnd"/>
      <w:r w:rsidR="00A02557" w:rsidRPr="00330D57">
        <w:rPr>
          <w:rFonts w:ascii="Franklin Gothic Book" w:hAnsi="Franklin Gothic Book" w:cs="Arial"/>
          <w:sz w:val="20"/>
        </w:rPr>
        <w:t xml:space="preserve"> </w:t>
      </w:r>
      <w:r w:rsidR="00423B12">
        <w:rPr>
          <w:rFonts w:ascii="Franklin Gothic Book" w:hAnsi="Franklin Gothic Book" w:cs="Arial"/>
          <w:sz w:val="20"/>
        </w:rPr>
        <w:t>APR DRG</w:t>
      </w:r>
      <w:r w:rsidR="00437522" w:rsidRPr="00330D57">
        <w:rPr>
          <w:rFonts w:ascii="Franklin Gothic Book" w:hAnsi="Franklin Gothic Book" w:cs="Arial"/>
          <w:sz w:val="20"/>
        </w:rPr>
        <w:t xml:space="preserve"> V.</w:t>
      </w:r>
      <w:r w:rsidR="006937C1">
        <w:rPr>
          <w:rFonts w:ascii="Franklin Gothic Book" w:hAnsi="Franklin Gothic Book" w:cs="Arial"/>
          <w:sz w:val="20"/>
        </w:rPr>
        <w:t>41</w:t>
      </w:r>
      <w:r w:rsidR="006937C1" w:rsidRPr="00330D57">
        <w:rPr>
          <w:rFonts w:ascii="Franklin Gothic Book" w:hAnsi="Franklin Gothic Book" w:cs="Arial"/>
          <w:sz w:val="20"/>
        </w:rPr>
        <w:t xml:space="preserve"> </w:t>
      </w:r>
      <w:r w:rsidR="00831251" w:rsidRPr="00330D57">
        <w:rPr>
          <w:rFonts w:ascii="Franklin Gothic Book" w:hAnsi="Franklin Gothic Book" w:cs="Arial"/>
          <w:sz w:val="20"/>
        </w:rPr>
        <w:t xml:space="preserve">relative weights </w:t>
      </w:r>
      <w:r w:rsidR="00437522" w:rsidRPr="00330D57">
        <w:rPr>
          <w:rFonts w:ascii="Franklin Gothic Book" w:hAnsi="Franklin Gothic Book" w:cs="Arial"/>
          <w:sz w:val="20"/>
        </w:rPr>
        <w:t xml:space="preserve">using </w:t>
      </w:r>
      <w:r w:rsidR="00A723E3" w:rsidRPr="00330D57">
        <w:rPr>
          <w:rFonts w:ascii="Franklin Gothic Book" w:hAnsi="Franklin Gothic Book" w:cs="Arial"/>
          <w:sz w:val="20"/>
        </w:rPr>
        <w:t>two years (</w:t>
      </w:r>
      <w:r w:rsidR="006937C1" w:rsidRPr="00330D57">
        <w:rPr>
          <w:rFonts w:ascii="Franklin Gothic Book" w:hAnsi="Franklin Gothic Book" w:cs="Arial"/>
          <w:sz w:val="20"/>
        </w:rPr>
        <w:t>201</w:t>
      </w:r>
      <w:r w:rsidR="006937C1">
        <w:rPr>
          <w:rFonts w:ascii="Franklin Gothic Book" w:hAnsi="Franklin Gothic Book" w:cs="Arial"/>
          <w:sz w:val="20"/>
        </w:rPr>
        <w:t>9</w:t>
      </w:r>
      <w:r w:rsidR="006937C1" w:rsidRPr="00330D57">
        <w:rPr>
          <w:rFonts w:ascii="Franklin Gothic Book" w:hAnsi="Franklin Gothic Book" w:cs="Arial"/>
          <w:sz w:val="20"/>
        </w:rPr>
        <w:t xml:space="preserve"> </w:t>
      </w:r>
      <w:r w:rsidR="00A723E3" w:rsidRPr="00330D57">
        <w:rPr>
          <w:rFonts w:ascii="Franklin Gothic Book" w:hAnsi="Franklin Gothic Book" w:cs="Arial"/>
          <w:sz w:val="20"/>
        </w:rPr>
        <w:t xml:space="preserve">and </w:t>
      </w:r>
      <w:r w:rsidR="006937C1" w:rsidRPr="00330D57">
        <w:rPr>
          <w:rFonts w:ascii="Franklin Gothic Book" w:hAnsi="Franklin Gothic Book" w:cs="Arial"/>
          <w:sz w:val="20"/>
        </w:rPr>
        <w:t>20</w:t>
      </w:r>
      <w:r w:rsidR="006937C1">
        <w:rPr>
          <w:rFonts w:ascii="Franklin Gothic Book" w:hAnsi="Franklin Gothic Book" w:cs="Arial"/>
          <w:sz w:val="20"/>
        </w:rPr>
        <w:t>20</w:t>
      </w:r>
      <w:r w:rsidR="00A723E3" w:rsidRPr="00330D57">
        <w:rPr>
          <w:rFonts w:ascii="Franklin Gothic Book" w:hAnsi="Franklin Gothic Book" w:cs="Arial"/>
          <w:sz w:val="20"/>
        </w:rPr>
        <w:t xml:space="preserve">) of all-payer data from the Healthcare Cost and Utilization Project </w:t>
      </w:r>
      <w:r w:rsidR="00575DF6" w:rsidRPr="00330D57">
        <w:rPr>
          <w:rFonts w:ascii="Franklin Gothic Book" w:hAnsi="Franklin Gothic Book" w:cs="Arial"/>
          <w:sz w:val="20"/>
        </w:rPr>
        <w:t xml:space="preserve">compiled by the Agency for Healthcare Research and Quality. </w:t>
      </w:r>
    </w:p>
    <w:p w14:paraId="71C78FA3" w14:textId="77777777" w:rsidR="00D272F3" w:rsidRPr="00330D57" w:rsidRDefault="00D272F3" w:rsidP="00110CA9">
      <w:pPr>
        <w:pStyle w:val="ListParagraph"/>
        <w:spacing w:after="120" w:line="240" w:lineRule="auto"/>
        <w:ind w:left="360"/>
        <w:rPr>
          <w:rFonts w:ascii="Franklin Gothic Book" w:hAnsi="Franklin Gothic Book" w:cs="Arial"/>
          <w:sz w:val="20"/>
        </w:rPr>
      </w:pPr>
    </w:p>
    <w:p w14:paraId="4FEFF20A" w14:textId="4AF265AC" w:rsidR="00D272F3" w:rsidRPr="00330D57" w:rsidRDefault="00575DF6"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The average relative weight, or case mix, of every </w:t>
      </w:r>
      <w:proofErr w:type="spellStart"/>
      <w:r w:rsidR="001723CE">
        <w:rPr>
          <w:rFonts w:ascii="Franklin Gothic Book" w:hAnsi="Franklin Gothic Book" w:cs="Arial"/>
          <w:sz w:val="20"/>
        </w:rPr>
        <w:t>Solventum</w:t>
      </w:r>
      <w:proofErr w:type="spellEnd"/>
      <w:r w:rsidR="00A02557"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version is 1.00. Therefore, a</w:t>
      </w:r>
      <w:r w:rsidR="0072193E" w:rsidRPr="00330D57">
        <w:rPr>
          <w:rFonts w:ascii="Franklin Gothic Book" w:hAnsi="Franklin Gothic Book" w:cs="Arial"/>
          <w:sz w:val="20"/>
        </w:rPr>
        <w:t xml:space="preserve">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with a relative weight of 0.50 reflects relative resource use that is half of the average inpatient stay and adjusts pa</w:t>
      </w:r>
      <w:r w:rsidR="00875C42" w:rsidRPr="00330D57">
        <w:rPr>
          <w:rFonts w:ascii="Franklin Gothic Book" w:hAnsi="Franklin Gothic Book" w:cs="Arial"/>
          <w:sz w:val="20"/>
        </w:rPr>
        <w:t>yments accordingly. Conversely,</w:t>
      </w:r>
      <w:r w:rsidRPr="00330D57">
        <w:rPr>
          <w:rFonts w:ascii="Franklin Gothic Book" w:hAnsi="Franklin Gothic Book" w:cs="Arial"/>
          <w:sz w:val="20"/>
        </w:rPr>
        <w:t xml:space="preserve"> a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with a relative weight of 2.00 reflects a case mix that is twice that of the average.</w:t>
      </w:r>
    </w:p>
    <w:p w14:paraId="7BE42AF2" w14:textId="77777777" w:rsidR="00D272F3" w:rsidRPr="00330D57" w:rsidRDefault="00D272F3" w:rsidP="00110CA9">
      <w:pPr>
        <w:pStyle w:val="ListParagraph"/>
        <w:spacing w:after="120" w:line="240" w:lineRule="auto"/>
        <w:ind w:left="360"/>
        <w:rPr>
          <w:rFonts w:ascii="Franklin Gothic Book" w:hAnsi="Franklin Gothic Book" w:cs="Arial"/>
          <w:sz w:val="20"/>
        </w:rPr>
      </w:pPr>
    </w:p>
    <w:p w14:paraId="7F4FB374" w14:textId="014B80D9" w:rsidR="004B4D05" w:rsidRDefault="00A723E3"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The example below shows the</w:t>
      </w:r>
      <w:r w:rsidR="00A02557" w:rsidRPr="00330D57">
        <w:rPr>
          <w:rFonts w:ascii="Franklin Gothic Book" w:hAnsi="Franklin Gothic Book" w:cs="Arial"/>
          <w:sz w:val="20"/>
        </w:rPr>
        <w:t xml:space="preserve"> </w:t>
      </w:r>
      <w:proofErr w:type="spellStart"/>
      <w:r w:rsidR="001723CE">
        <w:rPr>
          <w:rFonts w:ascii="Franklin Gothic Book" w:hAnsi="Franklin Gothic Book" w:cs="Arial"/>
          <w:sz w:val="20"/>
        </w:rPr>
        <w:t>Solventum</w:t>
      </w:r>
      <w:proofErr w:type="spellEnd"/>
      <w:r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relative weights for each of the four severity levels of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190 (Acute Myocardial Infarction). Note that this example is illustrative only and does not reflect any </w:t>
      </w:r>
      <w:r w:rsidR="00875C42" w:rsidRPr="00330D57">
        <w:rPr>
          <w:rFonts w:ascii="Franklin Gothic Book" w:hAnsi="Franklin Gothic Book" w:cs="Arial"/>
          <w:sz w:val="20"/>
        </w:rPr>
        <w:t xml:space="preserve">relative </w:t>
      </w:r>
      <w:r w:rsidRPr="00330D57">
        <w:rPr>
          <w:rFonts w:ascii="Franklin Gothic Book" w:hAnsi="Franklin Gothic Book" w:cs="Arial"/>
          <w:sz w:val="20"/>
        </w:rPr>
        <w:t>weight adjustments made in accordance with DHW policy decisions. For severity of illness (SOI) 1, the relative weig</w:t>
      </w:r>
      <w:r w:rsidR="003035A3" w:rsidRPr="00330D57">
        <w:rPr>
          <w:rFonts w:ascii="Franklin Gothic Book" w:hAnsi="Franklin Gothic Book" w:cs="Arial"/>
          <w:sz w:val="20"/>
        </w:rPr>
        <w:t>ht is 0.</w:t>
      </w:r>
      <w:r w:rsidR="006937C1">
        <w:rPr>
          <w:rFonts w:ascii="Franklin Gothic Book" w:hAnsi="Franklin Gothic Book" w:cs="Arial"/>
          <w:sz w:val="20"/>
        </w:rPr>
        <w:t>7617</w:t>
      </w:r>
      <w:r w:rsidR="003035A3" w:rsidRPr="00330D57">
        <w:rPr>
          <w:rFonts w:ascii="Franklin Gothic Book" w:hAnsi="Franklin Gothic Book" w:cs="Arial"/>
          <w:sz w:val="20"/>
        </w:rPr>
        <w:t xml:space="preserve">, indicating resource use </w:t>
      </w:r>
      <w:r w:rsidR="00206064" w:rsidRPr="00330D57">
        <w:rPr>
          <w:rFonts w:ascii="Franklin Gothic Book" w:hAnsi="Franklin Gothic Book" w:cs="Arial"/>
          <w:sz w:val="20"/>
        </w:rPr>
        <w:t>2</w:t>
      </w:r>
      <w:r w:rsidR="00206064">
        <w:rPr>
          <w:rFonts w:ascii="Franklin Gothic Book" w:hAnsi="Franklin Gothic Book" w:cs="Arial"/>
          <w:sz w:val="20"/>
        </w:rPr>
        <w:t>4</w:t>
      </w:r>
      <w:r w:rsidR="003035A3" w:rsidRPr="00330D57">
        <w:rPr>
          <w:rFonts w:ascii="Franklin Gothic Book" w:hAnsi="Franklin Gothic Book" w:cs="Arial"/>
          <w:sz w:val="20"/>
        </w:rPr>
        <w:t>% less than average</w:t>
      </w:r>
      <w:r w:rsidR="00875C42" w:rsidRPr="00330D57">
        <w:rPr>
          <w:rFonts w:ascii="Franklin Gothic Book" w:hAnsi="Franklin Gothic Book" w:cs="Arial"/>
          <w:sz w:val="20"/>
        </w:rPr>
        <w:t xml:space="preserve">. </w:t>
      </w:r>
      <w:r w:rsidR="003035A3" w:rsidRPr="00330D57">
        <w:rPr>
          <w:rFonts w:ascii="Franklin Gothic Book" w:hAnsi="Franklin Gothic Book" w:cs="Arial"/>
          <w:sz w:val="20"/>
        </w:rPr>
        <w:t>SOI 4, with a relative weight of 1.</w:t>
      </w:r>
      <w:r w:rsidR="006937C1">
        <w:rPr>
          <w:rFonts w:ascii="Franklin Gothic Book" w:hAnsi="Franklin Gothic Book" w:cs="Arial"/>
          <w:sz w:val="20"/>
        </w:rPr>
        <w:t>6827</w:t>
      </w:r>
      <w:r w:rsidR="003035A3" w:rsidRPr="00330D57">
        <w:rPr>
          <w:rFonts w:ascii="Franklin Gothic Book" w:hAnsi="Franklin Gothic Book" w:cs="Arial"/>
          <w:sz w:val="20"/>
        </w:rPr>
        <w:t xml:space="preserve">, has resource use about </w:t>
      </w:r>
      <w:r w:rsidR="006937C1">
        <w:rPr>
          <w:rFonts w:ascii="Franklin Gothic Book" w:hAnsi="Franklin Gothic Book" w:cs="Arial"/>
          <w:sz w:val="20"/>
        </w:rPr>
        <w:t>68</w:t>
      </w:r>
      <w:r w:rsidR="003035A3" w:rsidRPr="00330D57">
        <w:rPr>
          <w:rFonts w:ascii="Franklin Gothic Book" w:hAnsi="Franklin Gothic Book" w:cs="Arial"/>
          <w:sz w:val="20"/>
        </w:rPr>
        <w:t>% greater than average.</w:t>
      </w:r>
    </w:p>
    <w:p w14:paraId="69BF4AED" w14:textId="77777777" w:rsidR="008713FA" w:rsidRPr="00330D57" w:rsidRDefault="008713FA" w:rsidP="00110CA9">
      <w:pPr>
        <w:pStyle w:val="ListParagraph"/>
        <w:spacing w:after="120" w:line="240" w:lineRule="auto"/>
        <w:ind w:left="360"/>
        <w:rPr>
          <w:rFonts w:ascii="Franklin Gothic Book" w:hAnsi="Franklin Gothic Book" w:cs="Arial"/>
          <w:sz w:val="20"/>
        </w:rPr>
      </w:pPr>
    </w:p>
    <w:tbl>
      <w:tblPr>
        <w:tblW w:w="6684" w:type="dxa"/>
        <w:jc w:val="center"/>
        <w:tblLook w:val="04A0" w:firstRow="1" w:lastRow="0" w:firstColumn="1" w:lastColumn="0" w:noHBand="0" w:noVBand="1"/>
      </w:tblPr>
      <w:tblGrid>
        <w:gridCol w:w="1620"/>
        <w:gridCol w:w="4234"/>
        <w:gridCol w:w="830"/>
      </w:tblGrid>
      <w:tr w:rsidR="00A723E3" w:rsidRPr="000924A9" w14:paraId="39C730BD" w14:textId="77777777" w:rsidTr="00D272F3">
        <w:trPr>
          <w:trHeight w:val="288"/>
          <w:jc w:val="center"/>
        </w:trPr>
        <w:tc>
          <w:tcPr>
            <w:tcW w:w="6684" w:type="dxa"/>
            <w:gridSpan w:val="3"/>
            <w:tcBorders>
              <w:top w:val="single" w:sz="4" w:space="0" w:color="auto"/>
              <w:left w:val="single" w:sz="4" w:space="0" w:color="auto"/>
              <w:bottom w:val="single" w:sz="4" w:space="0" w:color="auto"/>
              <w:right w:val="single" w:sz="4" w:space="0" w:color="000000"/>
            </w:tcBorders>
            <w:shd w:val="clear" w:color="000000" w:fill="9CC5CA"/>
            <w:noWrap/>
            <w:vAlign w:val="center"/>
            <w:hideMark/>
          </w:tcPr>
          <w:p w14:paraId="660DC839" w14:textId="4A1AEC7C" w:rsidR="00A723E3" w:rsidRPr="000924A9" w:rsidRDefault="001723CE">
            <w:pPr>
              <w:spacing w:after="120" w:line="240" w:lineRule="auto"/>
              <w:jc w:val="center"/>
              <w:rPr>
                <w:rFonts w:ascii="Franklin Gothic Book" w:eastAsia="Times New Roman" w:hAnsi="Franklin Gothic Book" w:cs="Arial"/>
                <w:b/>
                <w:bCs/>
                <w:color w:val="000000"/>
                <w:sz w:val="18"/>
                <w:szCs w:val="16"/>
              </w:rPr>
            </w:pPr>
            <w:proofErr w:type="spellStart"/>
            <w:r w:rsidRPr="000924A9">
              <w:rPr>
                <w:rFonts w:ascii="Franklin Gothic Book" w:eastAsia="Times New Roman" w:hAnsi="Franklin Gothic Book" w:cs="Arial"/>
                <w:b/>
                <w:bCs/>
                <w:color w:val="000000"/>
                <w:sz w:val="18"/>
                <w:szCs w:val="16"/>
              </w:rPr>
              <w:t>Solventum</w:t>
            </w:r>
            <w:proofErr w:type="spellEnd"/>
            <w:r w:rsidR="00A02557" w:rsidRPr="000924A9">
              <w:rPr>
                <w:rFonts w:ascii="Franklin Gothic Book" w:eastAsia="Times New Roman" w:hAnsi="Franklin Gothic Book" w:cs="Arial"/>
                <w:b/>
                <w:bCs/>
                <w:color w:val="000000"/>
                <w:sz w:val="18"/>
                <w:szCs w:val="16"/>
              </w:rPr>
              <w:t xml:space="preserve"> </w:t>
            </w:r>
            <w:r w:rsidR="00423B12" w:rsidRPr="000924A9">
              <w:rPr>
                <w:rFonts w:ascii="Franklin Gothic Book" w:eastAsia="Times New Roman" w:hAnsi="Franklin Gothic Book" w:cs="Arial"/>
                <w:b/>
                <w:bCs/>
                <w:color w:val="000000"/>
                <w:sz w:val="18"/>
                <w:szCs w:val="16"/>
              </w:rPr>
              <w:t>APR DRG</w:t>
            </w:r>
            <w:r w:rsidR="00A723E3" w:rsidRPr="000924A9">
              <w:rPr>
                <w:rFonts w:ascii="Franklin Gothic Book" w:eastAsia="Times New Roman" w:hAnsi="Franklin Gothic Book" w:cs="Arial"/>
                <w:b/>
                <w:bCs/>
                <w:color w:val="000000"/>
                <w:sz w:val="18"/>
                <w:szCs w:val="16"/>
              </w:rPr>
              <w:t xml:space="preserve"> Relative Weights (V.</w:t>
            </w:r>
            <w:r w:rsidR="006937C1" w:rsidRPr="000924A9">
              <w:rPr>
                <w:rFonts w:ascii="Franklin Gothic Book" w:eastAsia="Times New Roman" w:hAnsi="Franklin Gothic Book" w:cs="Arial"/>
                <w:b/>
                <w:bCs/>
                <w:color w:val="000000"/>
                <w:sz w:val="18"/>
                <w:szCs w:val="16"/>
              </w:rPr>
              <w:t>41</w:t>
            </w:r>
            <w:r w:rsidR="00A723E3" w:rsidRPr="000924A9">
              <w:rPr>
                <w:rFonts w:ascii="Franklin Gothic Book" w:eastAsia="Times New Roman" w:hAnsi="Franklin Gothic Book" w:cs="Arial"/>
                <w:b/>
                <w:bCs/>
                <w:color w:val="000000"/>
                <w:sz w:val="18"/>
                <w:szCs w:val="16"/>
              </w:rPr>
              <w:t>)</w:t>
            </w:r>
          </w:p>
        </w:tc>
      </w:tr>
      <w:tr w:rsidR="00A723E3" w:rsidRPr="000924A9" w14:paraId="5AD83838" w14:textId="77777777" w:rsidTr="00D272F3">
        <w:trPr>
          <w:trHeight w:val="408"/>
          <w:jc w:val="center"/>
        </w:trPr>
        <w:tc>
          <w:tcPr>
            <w:tcW w:w="1620" w:type="dxa"/>
            <w:tcBorders>
              <w:top w:val="nil"/>
              <w:left w:val="single" w:sz="4" w:space="0" w:color="auto"/>
              <w:bottom w:val="nil"/>
              <w:right w:val="nil"/>
            </w:tcBorders>
            <w:shd w:val="clear" w:color="000000" w:fill="7AC142"/>
            <w:vAlign w:val="center"/>
            <w:hideMark/>
          </w:tcPr>
          <w:p w14:paraId="29A58A12" w14:textId="6C39FCA1" w:rsidR="00A723E3" w:rsidRPr="000924A9" w:rsidRDefault="001723CE" w:rsidP="00110CA9">
            <w:pPr>
              <w:spacing w:after="120" w:line="240" w:lineRule="auto"/>
              <w:jc w:val="center"/>
              <w:rPr>
                <w:rFonts w:ascii="Franklin Gothic Book" w:eastAsia="Times New Roman" w:hAnsi="Franklin Gothic Book" w:cs="Arial"/>
                <w:b/>
                <w:bCs/>
                <w:color w:val="000000"/>
                <w:sz w:val="18"/>
                <w:szCs w:val="16"/>
              </w:rPr>
            </w:pPr>
            <w:proofErr w:type="spellStart"/>
            <w:r w:rsidRPr="000924A9">
              <w:rPr>
                <w:rFonts w:ascii="Franklin Gothic Book" w:eastAsia="Times New Roman" w:hAnsi="Franklin Gothic Book" w:cs="Arial"/>
                <w:b/>
                <w:bCs/>
                <w:color w:val="000000"/>
                <w:sz w:val="18"/>
                <w:szCs w:val="16"/>
              </w:rPr>
              <w:t>Solventum</w:t>
            </w:r>
            <w:proofErr w:type="spellEnd"/>
            <w:r w:rsidR="00A02557" w:rsidRPr="000924A9">
              <w:rPr>
                <w:rFonts w:ascii="Franklin Gothic Book" w:eastAsia="Times New Roman" w:hAnsi="Franklin Gothic Book" w:cs="Arial"/>
                <w:b/>
                <w:bCs/>
                <w:color w:val="000000"/>
                <w:sz w:val="18"/>
                <w:szCs w:val="16"/>
              </w:rPr>
              <w:t xml:space="preserve"> </w:t>
            </w:r>
            <w:r w:rsidR="00423B12" w:rsidRPr="000924A9">
              <w:rPr>
                <w:rFonts w:ascii="Franklin Gothic Book" w:eastAsia="Times New Roman" w:hAnsi="Franklin Gothic Book" w:cs="Arial"/>
                <w:b/>
                <w:bCs/>
                <w:color w:val="000000"/>
                <w:sz w:val="18"/>
                <w:szCs w:val="16"/>
              </w:rPr>
              <w:t>APR DRG</w:t>
            </w:r>
          </w:p>
        </w:tc>
        <w:tc>
          <w:tcPr>
            <w:tcW w:w="4234" w:type="dxa"/>
            <w:tcBorders>
              <w:top w:val="nil"/>
              <w:left w:val="nil"/>
              <w:bottom w:val="single" w:sz="4" w:space="0" w:color="auto"/>
              <w:right w:val="nil"/>
            </w:tcBorders>
            <w:shd w:val="clear" w:color="000000" w:fill="7AC142"/>
            <w:noWrap/>
            <w:vAlign w:val="center"/>
            <w:hideMark/>
          </w:tcPr>
          <w:p w14:paraId="4EAE8BFC" w14:textId="77777777" w:rsidR="00A723E3" w:rsidRPr="000924A9" w:rsidRDefault="00A723E3" w:rsidP="00110CA9">
            <w:pPr>
              <w:spacing w:after="120" w:line="240" w:lineRule="auto"/>
              <w:jc w:val="center"/>
              <w:rPr>
                <w:rFonts w:ascii="Franklin Gothic Book" w:eastAsia="Times New Roman" w:hAnsi="Franklin Gothic Book" w:cs="Arial"/>
                <w:b/>
                <w:bCs/>
                <w:color w:val="000000"/>
                <w:sz w:val="18"/>
                <w:szCs w:val="16"/>
              </w:rPr>
            </w:pPr>
            <w:r w:rsidRPr="000924A9">
              <w:rPr>
                <w:rFonts w:ascii="Franklin Gothic Book" w:eastAsia="Times New Roman" w:hAnsi="Franklin Gothic Book" w:cs="Arial"/>
                <w:b/>
                <w:bCs/>
                <w:color w:val="000000"/>
                <w:sz w:val="18"/>
                <w:szCs w:val="16"/>
              </w:rPr>
              <w:t>Description</w:t>
            </w:r>
          </w:p>
        </w:tc>
        <w:tc>
          <w:tcPr>
            <w:tcW w:w="830" w:type="dxa"/>
            <w:tcBorders>
              <w:top w:val="nil"/>
              <w:left w:val="nil"/>
              <w:bottom w:val="single" w:sz="4" w:space="0" w:color="auto"/>
              <w:right w:val="single" w:sz="4" w:space="0" w:color="auto"/>
            </w:tcBorders>
            <w:shd w:val="clear" w:color="000000" w:fill="7AC142"/>
            <w:vAlign w:val="center"/>
            <w:hideMark/>
          </w:tcPr>
          <w:p w14:paraId="193D2C46" w14:textId="77777777" w:rsidR="00A723E3" w:rsidRPr="000924A9" w:rsidRDefault="00A723E3" w:rsidP="00110CA9">
            <w:pPr>
              <w:spacing w:after="120" w:line="240" w:lineRule="auto"/>
              <w:jc w:val="center"/>
              <w:rPr>
                <w:rFonts w:ascii="Franklin Gothic Book" w:eastAsia="Times New Roman" w:hAnsi="Franklin Gothic Book" w:cs="Arial"/>
                <w:b/>
                <w:bCs/>
                <w:color w:val="000000"/>
                <w:sz w:val="18"/>
                <w:szCs w:val="16"/>
              </w:rPr>
            </w:pPr>
            <w:r w:rsidRPr="000924A9">
              <w:rPr>
                <w:rFonts w:ascii="Franklin Gothic Book" w:eastAsia="Times New Roman" w:hAnsi="Franklin Gothic Book" w:cs="Arial"/>
                <w:b/>
                <w:bCs/>
                <w:color w:val="000000"/>
                <w:sz w:val="18"/>
                <w:szCs w:val="16"/>
              </w:rPr>
              <w:t>Relative Weight</w:t>
            </w:r>
          </w:p>
        </w:tc>
      </w:tr>
      <w:tr w:rsidR="00A723E3" w:rsidRPr="000924A9" w14:paraId="7EC158D2" w14:textId="77777777" w:rsidTr="00D272F3">
        <w:trPr>
          <w:trHeight w:val="288"/>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19E6D" w14:textId="77777777" w:rsidR="00A723E3" w:rsidRPr="000924A9" w:rsidRDefault="00A723E3"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190-1</w:t>
            </w:r>
          </w:p>
        </w:tc>
        <w:tc>
          <w:tcPr>
            <w:tcW w:w="4234" w:type="dxa"/>
            <w:tcBorders>
              <w:top w:val="nil"/>
              <w:left w:val="nil"/>
              <w:bottom w:val="single" w:sz="4" w:space="0" w:color="auto"/>
              <w:right w:val="single" w:sz="4" w:space="0" w:color="auto"/>
            </w:tcBorders>
            <w:shd w:val="clear" w:color="auto" w:fill="auto"/>
            <w:noWrap/>
            <w:vAlign w:val="bottom"/>
            <w:hideMark/>
          </w:tcPr>
          <w:p w14:paraId="57578C85" w14:textId="77777777" w:rsidR="00A723E3" w:rsidRPr="000924A9" w:rsidRDefault="00A723E3"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ACUTE MYOCARDIAL INFARCTION</w:t>
            </w:r>
          </w:p>
        </w:tc>
        <w:tc>
          <w:tcPr>
            <w:tcW w:w="830" w:type="dxa"/>
            <w:tcBorders>
              <w:top w:val="nil"/>
              <w:left w:val="nil"/>
              <w:bottom w:val="single" w:sz="4" w:space="0" w:color="auto"/>
              <w:right w:val="single" w:sz="4" w:space="0" w:color="auto"/>
            </w:tcBorders>
            <w:shd w:val="clear" w:color="auto" w:fill="auto"/>
            <w:vAlign w:val="bottom"/>
            <w:hideMark/>
          </w:tcPr>
          <w:p w14:paraId="54B6AAC0" w14:textId="079DAA85" w:rsidR="00A723E3" w:rsidRPr="000924A9" w:rsidRDefault="00A723E3">
            <w:pPr>
              <w:spacing w:after="120" w:line="240" w:lineRule="auto"/>
              <w:jc w:val="right"/>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0.</w:t>
            </w:r>
            <w:r w:rsidR="006937C1" w:rsidRPr="000924A9">
              <w:rPr>
                <w:rFonts w:ascii="Franklin Gothic Book" w:eastAsia="Times New Roman" w:hAnsi="Franklin Gothic Book" w:cs="Arial"/>
                <w:color w:val="000000"/>
                <w:sz w:val="18"/>
                <w:szCs w:val="16"/>
              </w:rPr>
              <w:t>7617</w:t>
            </w:r>
          </w:p>
        </w:tc>
      </w:tr>
      <w:tr w:rsidR="00A723E3" w:rsidRPr="000924A9" w14:paraId="779CB7B1" w14:textId="77777777" w:rsidTr="00D272F3">
        <w:trPr>
          <w:trHeight w:val="288"/>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A795EA8" w14:textId="77777777" w:rsidR="00A723E3" w:rsidRPr="000924A9" w:rsidRDefault="00A723E3"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190-2</w:t>
            </w:r>
          </w:p>
        </w:tc>
        <w:tc>
          <w:tcPr>
            <w:tcW w:w="4234" w:type="dxa"/>
            <w:tcBorders>
              <w:top w:val="nil"/>
              <w:left w:val="nil"/>
              <w:bottom w:val="single" w:sz="4" w:space="0" w:color="auto"/>
              <w:right w:val="single" w:sz="4" w:space="0" w:color="auto"/>
            </w:tcBorders>
            <w:shd w:val="clear" w:color="auto" w:fill="auto"/>
            <w:noWrap/>
            <w:vAlign w:val="bottom"/>
            <w:hideMark/>
          </w:tcPr>
          <w:p w14:paraId="7D31424C" w14:textId="77777777" w:rsidR="00A723E3" w:rsidRPr="000924A9" w:rsidRDefault="00A723E3"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ACUTE MYOCARDIAL INFARCTION</w:t>
            </w:r>
          </w:p>
        </w:tc>
        <w:tc>
          <w:tcPr>
            <w:tcW w:w="830" w:type="dxa"/>
            <w:tcBorders>
              <w:top w:val="nil"/>
              <w:left w:val="nil"/>
              <w:bottom w:val="single" w:sz="4" w:space="0" w:color="auto"/>
              <w:right w:val="single" w:sz="4" w:space="0" w:color="auto"/>
            </w:tcBorders>
            <w:shd w:val="clear" w:color="auto" w:fill="auto"/>
            <w:vAlign w:val="bottom"/>
            <w:hideMark/>
          </w:tcPr>
          <w:p w14:paraId="65C953B2" w14:textId="46A377DF" w:rsidR="00A723E3" w:rsidRPr="000924A9" w:rsidRDefault="00A723E3">
            <w:pPr>
              <w:spacing w:after="120" w:line="240" w:lineRule="auto"/>
              <w:jc w:val="right"/>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0.</w:t>
            </w:r>
            <w:r w:rsidR="006937C1" w:rsidRPr="000924A9">
              <w:rPr>
                <w:rFonts w:ascii="Franklin Gothic Book" w:eastAsia="Times New Roman" w:hAnsi="Franklin Gothic Book" w:cs="Arial"/>
                <w:color w:val="000000"/>
                <w:sz w:val="18"/>
                <w:szCs w:val="16"/>
              </w:rPr>
              <w:t>8238</w:t>
            </w:r>
          </w:p>
        </w:tc>
      </w:tr>
      <w:tr w:rsidR="00A723E3" w:rsidRPr="000924A9" w14:paraId="3BAC1A21" w14:textId="77777777" w:rsidTr="00D272F3">
        <w:trPr>
          <w:trHeight w:val="288"/>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23FEDF2" w14:textId="77777777" w:rsidR="00A723E3" w:rsidRPr="000924A9" w:rsidRDefault="00A723E3"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190-3</w:t>
            </w:r>
          </w:p>
        </w:tc>
        <w:tc>
          <w:tcPr>
            <w:tcW w:w="4234" w:type="dxa"/>
            <w:tcBorders>
              <w:top w:val="nil"/>
              <w:left w:val="nil"/>
              <w:bottom w:val="single" w:sz="4" w:space="0" w:color="auto"/>
              <w:right w:val="single" w:sz="4" w:space="0" w:color="auto"/>
            </w:tcBorders>
            <w:shd w:val="clear" w:color="auto" w:fill="auto"/>
            <w:noWrap/>
            <w:vAlign w:val="bottom"/>
            <w:hideMark/>
          </w:tcPr>
          <w:p w14:paraId="79984570" w14:textId="77777777" w:rsidR="00A723E3" w:rsidRPr="000924A9" w:rsidRDefault="00A723E3"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ACUTE MYOCARDIAL INFARCTION</w:t>
            </w:r>
          </w:p>
        </w:tc>
        <w:tc>
          <w:tcPr>
            <w:tcW w:w="830" w:type="dxa"/>
            <w:tcBorders>
              <w:top w:val="nil"/>
              <w:left w:val="nil"/>
              <w:bottom w:val="single" w:sz="4" w:space="0" w:color="auto"/>
              <w:right w:val="single" w:sz="4" w:space="0" w:color="auto"/>
            </w:tcBorders>
            <w:shd w:val="clear" w:color="auto" w:fill="auto"/>
            <w:vAlign w:val="bottom"/>
            <w:hideMark/>
          </w:tcPr>
          <w:p w14:paraId="61ACC26F" w14:textId="083A91C3" w:rsidR="00A723E3" w:rsidRPr="000924A9" w:rsidRDefault="00A723E3">
            <w:pPr>
              <w:spacing w:after="120" w:line="240" w:lineRule="auto"/>
              <w:jc w:val="right"/>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1.</w:t>
            </w:r>
            <w:r w:rsidR="006937C1" w:rsidRPr="000924A9">
              <w:rPr>
                <w:rFonts w:ascii="Franklin Gothic Book" w:eastAsia="Times New Roman" w:hAnsi="Franklin Gothic Book" w:cs="Arial"/>
                <w:color w:val="000000"/>
                <w:sz w:val="18"/>
                <w:szCs w:val="16"/>
              </w:rPr>
              <w:t>0727</w:t>
            </w:r>
          </w:p>
        </w:tc>
      </w:tr>
      <w:tr w:rsidR="00A723E3" w:rsidRPr="000924A9" w14:paraId="3F96FE1B" w14:textId="77777777" w:rsidTr="00D272F3">
        <w:trPr>
          <w:trHeight w:val="288"/>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4733CDA" w14:textId="77777777" w:rsidR="00A723E3" w:rsidRPr="000924A9" w:rsidRDefault="00A723E3"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190-4</w:t>
            </w:r>
          </w:p>
        </w:tc>
        <w:tc>
          <w:tcPr>
            <w:tcW w:w="4234" w:type="dxa"/>
            <w:tcBorders>
              <w:top w:val="nil"/>
              <w:left w:val="nil"/>
              <w:bottom w:val="single" w:sz="4" w:space="0" w:color="auto"/>
              <w:right w:val="single" w:sz="4" w:space="0" w:color="auto"/>
            </w:tcBorders>
            <w:shd w:val="clear" w:color="auto" w:fill="auto"/>
            <w:noWrap/>
            <w:vAlign w:val="bottom"/>
            <w:hideMark/>
          </w:tcPr>
          <w:p w14:paraId="63F2615E" w14:textId="77777777" w:rsidR="00A723E3" w:rsidRPr="000924A9" w:rsidRDefault="00A723E3"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ACUTE MYOCARDIAL INFARCTION</w:t>
            </w:r>
          </w:p>
        </w:tc>
        <w:tc>
          <w:tcPr>
            <w:tcW w:w="830" w:type="dxa"/>
            <w:tcBorders>
              <w:top w:val="nil"/>
              <w:left w:val="nil"/>
              <w:bottom w:val="single" w:sz="4" w:space="0" w:color="auto"/>
              <w:right w:val="single" w:sz="4" w:space="0" w:color="auto"/>
            </w:tcBorders>
            <w:shd w:val="clear" w:color="auto" w:fill="auto"/>
            <w:vAlign w:val="bottom"/>
            <w:hideMark/>
          </w:tcPr>
          <w:p w14:paraId="648E3BBF" w14:textId="49F6A0F5" w:rsidR="00A723E3" w:rsidRPr="000924A9" w:rsidRDefault="00A723E3">
            <w:pPr>
              <w:spacing w:after="120" w:line="240" w:lineRule="auto"/>
              <w:jc w:val="right"/>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1.</w:t>
            </w:r>
            <w:r w:rsidR="006937C1" w:rsidRPr="000924A9">
              <w:rPr>
                <w:rFonts w:ascii="Franklin Gothic Book" w:eastAsia="Times New Roman" w:hAnsi="Franklin Gothic Book" w:cs="Arial"/>
                <w:color w:val="000000"/>
                <w:sz w:val="18"/>
                <w:szCs w:val="16"/>
              </w:rPr>
              <w:t>6827</w:t>
            </w:r>
          </w:p>
        </w:tc>
      </w:tr>
    </w:tbl>
    <w:p w14:paraId="1E9F24FB" w14:textId="035D3773" w:rsidR="00A723E3" w:rsidRDefault="00A723E3" w:rsidP="00110CA9">
      <w:pPr>
        <w:pStyle w:val="ListParagraph"/>
        <w:spacing w:after="120" w:line="240" w:lineRule="auto"/>
        <w:ind w:left="360"/>
        <w:rPr>
          <w:rFonts w:ascii="Franklin Gothic Book" w:hAnsi="Franklin Gothic Book" w:cs="Arial"/>
          <w:sz w:val="20"/>
        </w:rPr>
      </w:pPr>
    </w:p>
    <w:p w14:paraId="2A24EAC7" w14:textId="77777777" w:rsidR="00837CCC" w:rsidRPr="00330D57" w:rsidRDefault="00837CCC" w:rsidP="00110CA9">
      <w:pPr>
        <w:pStyle w:val="ListParagraph"/>
        <w:spacing w:after="120" w:line="240" w:lineRule="auto"/>
        <w:ind w:left="360"/>
        <w:rPr>
          <w:rFonts w:ascii="Franklin Gothic Book" w:hAnsi="Franklin Gothic Book" w:cs="Arial"/>
          <w:sz w:val="20"/>
        </w:rPr>
      </w:pPr>
    </w:p>
    <w:p w14:paraId="5C668FF0" w14:textId="146801F0" w:rsidR="00C642E4" w:rsidRPr="00330D57" w:rsidRDefault="00C642E4"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How are payments calculated?</w:t>
      </w:r>
    </w:p>
    <w:p w14:paraId="65ACE3CB" w14:textId="43560C58" w:rsidR="00831251" w:rsidRPr="00330D57" w:rsidRDefault="00734433"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Base payments are calculated as:</w:t>
      </w:r>
    </w:p>
    <w:p w14:paraId="34ABDB62" w14:textId="77777777" w:rsidR="00B350E9" w:rsidRPr="00330D57" w:rsidRDefault="00B350E9" w:rsidP="00110CA9">
      <w:pPr>
        <w:pStyle w:val="ListParagraph"/>
        <w:spacing w:after="120" w:line="240" w:lineRule="auto"/>
        <w:ind w:left="360"/>
        <w:jc w:val="center"/>
        <w:rPr>
          <w:rFonts w:ascii="Franklin Gothic Book" w:hAnsi="Franklin Gothic Book" w:cs="Arial"/>
          <w:sz w:val="20"/>
        </w:rPr>
      </w:pPr>
    </w:p>
    <w:p w14:paraId="400C0303" w14:textId="490CE077" w:rsidR="00734433" w:rsidRPr="00330D57" w:rsidRDefault="001723CE" w:rsidP="00110CA9">
      <w:pPr>
        <w:pStyle w:val="ListParagraph"/>
        <w:spacing w:after="120" w:line="240" w:lineRule="auto"/>
        <w:ind w:left="360"/>
        <w:jc w:val="center"/>
        <w:rPr>
          <w:rFonts w:ascii="Franklin Gothic Book" w:hAnsi="Franklin Gothic Book" w:cs="Arial"/>
          <w:b/>
          <w:i/>
          <w:color w:val="F8971D"/>
          <w:sz w:val="20"/>
        </w:rPr>
      </w:pPr>
      <w:proofErr w:type="spellStart"/>
      <w:r>
        <w:rPr>
          <w:rFonts w:ascii="Franklin Gothic Book" w:hAnsi="Franklin Gothic Book" w:cs="Arial"/>
          <w:b/>
          <w:i/>
          <w:color w:val="F8971D"/>
          <w:sz w:val="20"/>
        </w:rPr>
        <w:t>Solventum</w:t>
      </w:r>
      <w:proofErr w:type="spellEnd"/>
      <w:r w:rsidR="00A02557" w:rsidRPr="00330D57">
        <w:rPr>
          <w:rFonts w:ascii="Franklin Gothic Book" w:hAnsi="Franklin Gothic Book" w:cs="Arial"/>
          <w:b/>
          <w:i/>
          <w:color w:val="F8971D"/>
          <w:sz w:val="20"/>
        </w:rPr>
        <w:t xml:space="preserve"> </w:t>
      </w:r>
      <w:r w:rsidR="00423B12">
        <w:rPr>
          <w:rFonts w:ascii="Franklin Gothic Book" w:hAnsi="Franklin Gothic Book" w:cs="Arial"/>
          <w:b/>
          <w:i/>
          <w:color w:val="F8971D"/>
          <w:sz w:val="20"/>
        </w:rPr>
        <w:t>APR DRG</w:t>
      </w:r>
      <w:r w:rsidR="00734433" w:rsidRPr="00330D57">
        <w:rPr>
          <w:rFonts w:ascii="Franklin Gothic Book" w:hAnsi="Franklin Gothic Book" w:cs="Arial"/>
          <w:b/>
          <w:i/>
          <w:color w:val="F8971D"/>
          <w:sz w:val="20"/>
        </w:rPr>
        <w:t xml:space="preserve"> Relative Weight x Base Rate = </w:t>
      </w:r>
      <w:r w:rsidR="009578EA" w:rsidRPr="00330D57">
        <w:rPr>
          <w:rFonts w:ascii="Franklin Gothic Book" w:hAnsi="Franklin Gothic Book" w:cs="Arial"/>
          <w:b/>
          <w:i/>
          <w:color w:val="F8971D"/>
          <w:sz w:val="20"/>
        </w:rPr>
        <w:t>Base</w:t>
      </w:r>
      <w:r w:rsidR="00734433" w:rsidRPr="00330D57">
        <w:rPr>
          <w:rFonts w:ascii="Franklin Gothic Book" w:hAnsi="Franklin Gothic Book" w:cs="Arial"/>
          <w:b/>
          <w:i/>
          <w:color w:val="F8971D"/>
          <w:sz w:val="20"/>
        </w:rPr>
        <w:t xml:space="preserve"> Payment</w:t>
      </w:r>
    </w:p>
    <w:p w14:paraId="27DC5DB6" w14:textId="77777777" w:rsidR="00B350E9" w:rsidRPr="00330D57" w:rsidRDefault="00B350E9" w:rsidP="00110CA9">
      <w:pPr>
        <w:pStyle w:val="ListParagraph"/>
        <w:spacing w:after="120" w:line="240" w:lineRule="auto"/>
        <w:ind w:left="360"/>
        <w:rPr>
          <w:rFonts w:ascii="Franklin Gothic Book" w:hAnsi="Franklin Gothic Book" w:cs="Arial"/>
          <w:sz w:val="20"/>
        </w:rPr>
      </w:pPr>
    </w:p>
    <w:p w14:paraId="4C03DDDE" w14:textId="0AFEE529" w:rsidR="00B350E9" w:rsidRPr="00330D57" w:rsidRDefault="00B350E9"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The example below shows how the calculation is applied with different </w:t>
      </w:r>
      <w:proofErr w:type="spellStart"/>
      <w:r w:rsidR="001723CE">
        <w:rPr>
          <w:rFonts w:ascii="Franklin Gothic Book" w:hAnsi="Franklin Gothic Book" w:cs="Arial"/>
          <w:sz w:val="20"/>
        </w:rPr>
        <w:t>Solventum</w:t>
      </w:r>
      <w:proofErr w:type="spellEnd"/>
      <w:r w:rsidR="00A02557"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assignments. Note that this example is illustrative only and does not reflect any weight adjustments made in accordance with DHW policy decisions. </w:t>
      </w:r>
      <w:proofErr w:type="spellStart"/>
      <w:r w:rsidR="001723CE">
        <w:rPr>
          <w:rFonts w:ascii="Franklin Gothic Book" w:hAnsi="Franklin Gothic Book" w:cs="Arial"/>
          <w:sz w:val="20"/>
        </w:rPr>
        <w:t>Solventum</w:t>
      </w:r>
      <w:proofErr w:type="spellEnd"/>
      <w:r w:rsidR="00A02557"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190-1 has a relative weight of 0.</w:t>
      </w:r>
      <w:r w:rsidR="006937C1" w:rsidRPr="00330D57">
        <w:rPr>
          <w:rFonts w:ascii="Franklin Gothic Book" w:hAnsi="Franklin Gothic Book" w:cs="Arial"/>
          <w:sz w:val="20"/>
        </w:rPr>
        <w:t>76</w:t>
      </w:r>
      <w:r w:rsidR="006937C1">
        <w:rPr>
          <w:rFonts w:ascii="Franklin Gothic Book" w:hAnsi="Franklin Gothic Book" w:cs="Arial"/>
          <w:sz w:val="20"/>
        </w:rPr>
        <w:t>17</w:t>
      </w:r>
      <w:r w:rsidR="006937C1" w:rsidRPr="00330D57">
        <w:rPr>
          <w:rFonts w:ascii="Franklin Gothic Book" w:hAnsi="Franklin Gothic Book" w:cs="Arial"/>
          <w:sz w:val="20"/>
        </w:rPr>
        <w:t xml:space="preserve"> </w:t>
      </w:r>
      <w:r w:rsidRPr="00330D57">
        <w:rPr>
          <w:rFonts w:ascii="Franklin Gothic Book" w:hAnsi="Franklin Gothic Book" w:cs="Arial"/>
          <w:sz w:val="20"/>
        </w:rPr>
        <w:t>and 190-4 has a relative weight of 1.</w:t>
      </w:r>
      <w:r w:rsidR="006937C1">
        <w:rPr>
          <w:rFonts w:ascii="Franklin Gothic Book" w:hAnsi="Franklin Gothic Book" w:cs="Arial"/>
          <w:sz w:val="20"/>
        </w:rPr>
        <w:t>6827</w:t>
      </w:r>
      <w:r w:rsidRPr="00330D57">
        <w:rPr>
          <w:rFonts w:ascii="Franklin Gothic Book" w:hAnsi="Franklin Gothic Book" w:cs="Arial"/>
          <w:sz w:val="20"/>
        </w:rPr>
        <w:t xml:space="preserve">. The </w:t>
      </w:r>
      <w:r w:rsidR="00206064">
        <w:rPr>
          <w:rFonts w:ascii="Franklin Gothic Book" w:hAnsi="Franklin Gothic Book" w:cs="Arial"/>
          <w:sz w:val="20"/>
        </w:rPr>
        <w:t xml:space="preserve">illustrative </w:t>
      </w:r>
      <w:r w:rsidRPr="00330D57">
        <w:rPr>
          <w:rFonts w:ascii="Franklin Gothic Book" w:hAnsi="Franklin Gothic Book" w:cs="Arial"/>
          <w:sz w:val="20"/>
        </w:rPr>
        <w:t xml:space="preserve">base rate in this example is $10,000. </w:t>
      </w:r>
    </w:p>
    <w:p w14:paraId="4B6363D1" w14:textId="77777777" w:rsidR="0057153F" w:rsidRPr="00330D57" w:rsidRDefault="0057153F" w:rsidP="00110CA9">
      <w:pPr>
        <w:pStyle w:val="ListParagraph"/>
        <w:spacing w:after="120" w:line="240" w:lineRule="auto"/>
        <w:ind w:left="360"/>
        <w:rPr>
          <w:rFonts w:ascii="Franklin Gothic Book" w:hAnsi="Franklin Gothic Book" w:cs="Arial"/>
          <w:sz w:val="20"/>
        </w:rPr>
      </w:pPr>
    </w:p>
    <w:p w14:paraId="3EF91E6B" w14:textId="47969E0E" w:rsidR="0057153F" w:rsidRPr="00330D57" w:rsidRDefault="001723CE" w:rsidP="00110CA9">
      <w:pPr>
        <w:pStyle w:val="ListParagraph"/>
        <w:spacing w:after="120" w:line="240" w:lineRule="auto"/>
        <w:ind w:left="360"/>
        <w:jc w:val="center"/>
        <w:rPr>
          <w:rFonts w:ascii="Franklin Gothic Book" w:hAnsi="Franklin Gothic Book" w:cs="Arial"/>
          <w:b/>
          <w:i/>
          <w:color w:val="F8971D"/>
          <w:sz w:val="20"/>
        </w:rPr>
      </w:pPr>
      <w:proofErr w:type="spellStart"/>
      <w:r>
        <w:rPr>
          <w:rFonts w:ascii="Franklin Gothic Book" w:hAnsi="Franklin Gothic Book" w:cs="Arial"/>
          <w:b/>
          <w:i/>
          <w:color w:val="F8971D"/>
          <w:sz w:val="20"/>
        </w:rPr>
        <w:t>Solventum</w:t>
      </w:r>
      <w:proofErr w:type="spellEnd"/>
      <w:r w:rsidR="00A02557" w:rsidRPr="00330D57">
        <w:rPr>
          <w:rFonts w:ascii="Franklin Gothic Book" w:hAnsi="Franklin Gothic Book" w:cs="Arial"/>
          <w:b/>
          <w:i/>
          <w:color w:val="F8971D"/>
          <w:sz w:val="20"/>
        </w:rPr>
        <w:t xml:space="preserve"> </w:t>
      </w:r>
      <w:r w:rsidR="00423B12">
        <w:rPr>
          <w:rFonts w:ascii="Franklin Gothic Book" w:hAnsi="Franklin Gothic Book" w:cs="Arial"/>
          <w:b/>
          <w:i/>
          <w:color w:val="F8971D"/>
          <w:sz w:val="20"/>
        </w:rPr>
        <w:t>APR DRG</w:t>
      </w:r>
      <w:r w:rsidR="0057153F" w:rsidRPr="00330D57">
        <w:rPr>
          <w:rFonts w:ascii="Franklin Gothic Book" w:hAnsi="Franklin Gothic Book" w:cs="Arial"/>
          <w:b/>
          <w:i/>
          <w:color w:val="F8971D"/>
          <w:sz w:val="20"/>
        </w:rPr>
        <w:t xml:space="preserve"> 190-1:</w:t>
      </w:r>
      <w:r w:rsidR="000924A9">
        <w:rPr>
          <w:rFonts w:ascii="Franklin Gothic Book" w:hAnsi="Franklin Gothic Book" w:cs="Arial"/>
          <w:b/>
          <w:i/>
          <w:color w:val="F8971D"/>
          <w:sz w:val="20"/>
        </w:rPr>
        <w:t xml:space="preserve"> </w:t>
      </w:r>
      <w:r w:rsidR="0057153F" w:rsidRPr="00330D57">
        <w:rPr>
          <w:rFonts w:ascii="Franklin Gothic Book" w:hAnsi="Franklin Gothic Book" w:cs="Arial"/>
          <w:b/>
          <w:i/>
          <w:color w:val="F8971D"/>
          <w:sz w:val="20"/>
        </w:rPr>
        <w:t>0.</w:t>
      </w:r>
      <w:r w:rsidR="00206064" w:rsidRPr="00330D57">
        <w:rPr>
          <w:rFonts w:ascii="Franklin Gothic Book" w:hAnsi="Franklin Gothic Book" w:cs="Arial"/>
          <w:b/>
          <w:i/>
          <w:color w:val="F8971D"/>
          <w:sz w:val="20"/>
        </w:rPr>
        <w:t>76</w:t>
      </w:r>
      <w:r w:rsidR="001E28B5">
        <w:rPr>
          <w:rFonts w:ascii="Franklin Gothic Book" w:hAnsi="Franklin Gothic Book" w:cs="Arial"/>
          <w:b/>
          <w:i/>
          <w:color w:val="F8971D"/>
          <w:sz w:val="20"/>
        </w:rPr>
        <w:t>17</w:t>
      </w:r>
      <w:r w:rsidR="00206064" w:rsidRPr="00330D57">
        <w:rPr>
          <w:rFonts w:ascii="Franklin Gothic Book" w:hAnsi="Franklin Gothic Book" w:cs="Arial"/>
          <w:b/>
          <w:i/>
          <w:color w:val="F8971D"/>
          <w:sz w:val="20"/>
        </w:rPr>
        <w:t xml:space="preserve"> </w:t>
      </w:r>
      <w:r w:rsidR="0057153F" w:rsidRPr="00330D57">
        <w:rPr>
          <w:rFonts w:ascii="Franklin Gothic Book" w:hAnsi="Franklin Gothic Book" w:cs="Arial"/>
          <w:b/>
          <w:i/>
          <w:color w:val="F8971D"/>
          <w:sz w:val="20"/>
        </w:rPr>
        <w:t>x $10,000 = $7</w:t>
      </w:r>
      <w:r w:rsidR="001E28B5">
        <w:rPr>
          <w:rFonts w:ascii="Franklin Gothic Book" w:hAnsi="Franklin Gothic Book" w:cs="Arial"/>
          <w:b/>
          <w:i/>
          <w:color w:val="F8971D"/>
          <w:sz w:val="20"/>
        </w:rPr>
        <w:t>,</w:t>
      </w:r>
      <w:r w:rsidR="006937C1" w:rsidRPr="00330D57">
        <w:rPr>
          <w:rFonts w:ascii="Franklin Gothic Book" w:hAnsi="Franklin Gothic Book" w:cs="Arial"/>
          <w:b/>
          <w:i/>
          <w:color w:val="F8971D"/>
          <w:sz w:val="20"/>
        </w:rPr>
        <w:t>6</w:t>
      </w:r>
      <w:r w:rsidR="000A396E">
        <w:rPr>
          <w:rFonts w:ascii="Franklin Gothic Book" w:hAnsi="Franklin Gothic Book" w:cs="Arial"/>
          <w:b/>
          <w:i/>
          <w:color w:val="F8971D"/>
          <w:sz w:val="20"/>
        </w:rPr>
        <w:t>1</w:t>
      </w:r>
      <w:r w:rsidR="006937C1">
        <w:rPr>
          <w:rFonts w:ascii="Franklin Gothic Book" w:hAnsi="Franklin Gothic Book" w:cs="Arial"/>
          <w:b/>
          <w:i/>
          <w:color w:val="F8971D"/>
          <w:sz w:val="20"/>
        </w:rPr>
        <w:t>7</w:t>
      </w:r>
    </w:p>
    <w:p w14:paraId="7610D25F" w14:textId="634519FA" w:rsidR="0057153F" w:rsidRPr="00330D57" w:rsidRDefault="001723CE" w:rsidP="00110CA9">
      <w:pPr>
        <w:pStyle w:val="ListParagraph"/>
        <w:spacing w:after="120" w:line="240" w:lineRule="auto"/>
        <w:ind w:left="360"/>
        <w:jc w:val="center"/>
        <w:rPr>
          <w:rFonts w:ascii="Franklin Gothic Book" w:hAnsi="Franklin Gothic Book" w:cs="Arial"/>
          <w:b/>
          <w:i/>
          <w:color w:val="F8971D"/>
          <w:sz w:val="20"/>
        </w:rPr>
      </w:pPr>
      <w:proofErr w:type="spellStart"/>
      <w:r>
        <w:rPr>
          <w:rFonts w:ascii="Franklin Gothic Book" w:hAnsi="Franklin Gothic Book" w:cs="Arial"/>
          <w:b/>
          <w:i/>
          <w:color w:val="F8971D"/>
          <w:sz w:val="20"/>
        </w:rPr>
        <w:t>Solventum</w:t>
      </w:r>
      <w:proofErr w:type="spellEnd"/>
      <w:r w:rsidR="00A02557" w:rsidRPr="00330D57">
        <w:rPr>
          <w:rFonts w:ascii="Franklin Gothic Book" w:hAnsi="Franklin Gothic Book" w:cs="Arial"/>
          <w:b/>
          <w:i/>
          <w:color w:val="F8971D"/>
          <w:sz w:val="20"/>
        </w:rPr>
        <w:t xml:space="preserve"> </w:t>
      </w:r>
      <w:r w:rsidR="00423B12">
        <w:rPr>
          <w:rFonts w:ascii="Franklin Gothic Book" w:hAnsi="Franklin Gothic Book" w:cs="Arial"/>
          <w:b/>
          <w:i/>
          <w:color w:val="F8971D"/>
          <w:sz w:val="20"/>
        </w:rPr>
        <w:t>APR DRG</w:t>
      </w:r>
      <w:r w:rsidR="0057153F" w:rsidRPr="00330D57">
        <w:rPr>
          <w:rFonts w:ascii="Franklin Gothic Book" w:hAnsi="Franklin Gothic Book" w:cs="Arial"/>
          <w:b/>
          <w:i/>
          <w:color w:val="F8971D"/>
          <w:sz w:val="20"/>
        </w:rPr>
        <w:t xml:space="preserve"> 190-4:</w:t>
      </w:r>
      <w:r w:rsidR="000924A9">
        <w:rPr>
          <w:rFonts w:ascii="Franklin Gothic Book" w:hAnsi="Franklin Gothic Book" w:cs="Arial"/>
          <w:b/>
          <w:i/>
          <w:color w:val="F8971D"/>
          <w:sz w:val="20"/>
        </w:rPr>
        <w:t xml:space="preserve"> </w:t>
      </w:r>
      <w:r w:rsidR="0057153F" w:rsidRPr="00330D57">
        <w:rPr>
          <w:rFonts w:ascii="Franklin Gothic Book" w:hAnsi="Franklin Gothic Book" w:cs="Arial"/>
          <w:b/>
          <w:i/>
          <w:color w:val="F8971D"/>
          <w:sz w:val="20"/>
        </w:rPr>
        <w:t>1.</w:t>
      </w:r>
      <w:r w:rsidR="006937C1">
        <w:rPr>
          <w:rFonts w:ascii="Franklin Gothic Book" w:hAnsi="Franklin Gothic Book" w:cs="Arial"/>
          <w:b/>
          <w:i/>
          <w:color w:val="F8971D"/>
          <w:sz w:val="20"/>
        </w:rPr>
        <w:t>6827</w:t>
      </w:r>
      <w:r w:rsidR="006937C1" w:rsidRPr="00330D57">
        <w:rPr>
          <w:rFonts w:ascii="Franklin Gothic Book" w:hAnsi="Franklin Gothic Book" w:cs="Arial"/>
          <w:b/>
          <w:i/>
          <w:color w:val="F8971D"/>
          <w:sz w:val="20"/>
        </w:rPr>
        <w:t xml:space="preserve"> </w:t>
      </w:r>
      <w:r w:rsidR="0057153F" w:rsidRPr="00330D57">
        <w:rPr>
          <w:rFonts w:ascii="Franklin Gothic Book" w:hAnsi="Franklin Gothic Book" w:cs="Arial"/>
          <w:b/>
          <w:i/>
          <w:color w:val="F8971D"/>
          <w:sz w:val="20"/>
        </w:rPr>
        <w:t>x $10,000 = $</w:t>
      </w:r>
      <w:r w:rsidR="006937C1">
        <w:rPr>
          <w:rFonts w:ascii="Franklin Gothic Book" w:hAnsi="Franklin Gothic Book" w:cs="Arial"/>
          <w:b/>
          <w:i/>
          <w:color w:val="F8971D"/>
          <w:sz w:val="20"/>
        </w:rPr>
        <w:t>16,827</w:t>
      </w:r>
    </w:p>
    <w:p w14:paraId="7E638F1A" w14:textId="77777777" w:rsidR="00B350E9" w:rsidRPr="00330D57" w:rsidRDefault="00B350E9" w:rsidP="00110CA9">
      <w:pPr>
        <w:pStyle w:val="ListParagraph"/>
        <w:spacing w:after="120" w:line="240" w:lineRule="auto"/>
        <w:ind w:left="360"/>
        <w:rPr>
          <w:rFonts w:ascii="Franklin Gothic Book" w:hAnsi="Franklin Gothic Book" w:cs="Arial"/>
          <w:sz w:val="20"/>
        </w:rPr>
      </w:pPr>
    </w:p>
    <w:p w14:paraId="4C75DDBE" w14:textId="07BDAEDA" w:rsidR="00734433" w:rsidRPr="00330D57" w:rsidRDefault="00734433"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Base rates in </w:t>
      </w:r>
      <w:r w:rsidR="006F0E1E">
        <w:rPr>
          <w:rFonts w:ascii="Franklin Gothic Book" w:hAnsi="Franklin Gothic Book" w:cs="Arial"/>
          <w:sz w:val="20"/>
        </w:rPr>
        <w:t>State Fiscal Year (</w:t>
      </w:r>
      <w:r w:rsidRPr="00330D57">
        <w:rPr>
          <w:rFonts w:ascii="Franklin Gothic Book" w:hAnsi="Franklin Gothic Book" w:cs="Arial"/>
          <w:sz w:val="20"/>
        </w:rPr>
        <w:t>SFY</w:t>
      </w:r>
      <w:r w:rsidR="006F0E1E">
        <w:rPr>
          <w:rFonts w:ascii="Franklin Gothic Book" w:hAnsi="Franklin Gothic Book" w:cs="Arial"/>
          <w:sz w:val="20"/>
        </w:rPr>
        <w:t>)</w:t>
      </w:r>
      <w:r w:rsidRPr="00330D57">
        <w:rPr>
          <w:rFonts w:ascii="Franklin Gothic Book" w:hAnsi="Franklin Gothic Book" w:cs="Arial"/>
          <w:sz w:val="20"/>
        </w:rPr>
        <w:t xml:space="preserve"> </w:t>
      </w:r>
      <w:r w:rsidR="006937C1" w:rsidRPr="00330D57">
        <w:rPr>
          <w:rFonts w:ascii="Franklin Gothic Book" w:hAnsi="Franklin Gothic Book" w:cs="Arial"/>
          <w:sz w:val="20"/>
        </w:rPr>
        <w:t>202</w:t>
      </w:r>
      <w:r w:rsidR="006937C1">
        <w:rPr>
          <w:rFonts w:ascii="Franklin Gothic Book" w:hAnsi="Franklin Gothic Book" w:cs="Arial"/>
          <w:sz w:val="20"/>
        </w:rPr>
        <w:t>5 effective</w:t>
      </w:r>
      <w:r w:rsidR="006F0E1E">
        <w:rPr>
          <w:rFonts w:ascii="Franklin Gothic Book" w:hAnsi="Franklin Gothic Book" w:cs="Arial"/>
          <w:sz w:val="20"/>
        </w:rPr>
        <w:t xml:space="preserve"> </w:t>
      </w:r>
      <w:r w:rsidR="006937C1">
        <w:rPr>
          <w:rFonts w:ascii="Franklin Gothic Book" w:hAnsi="Franklin Gothic Book" w:cs="Arial"/>
          <w:sz w:val="20"/>
        </w:rPr>
        <w:t>October</w:t>
      </w:r>
      <w:r w:rsidR="006F0E1E">
        <w:rPr>
          <w:rFonts w:ascii="Franklin Gothic Book" w:hAnsi="Franklin Gothic Book" w:cs="Arial"/>
          <w:sz w:val="20"/>
        </w:rPr>
        <w:t xml:space="preserve"> 1, </w:t>
      </w:r>
      <w:r w:rsidR="00206064">
        <w:rPr>
          <w:rFonts w:ascii="Franklin Gothic Book" w:hAnsi="Franklin Gothic Book" w:cs="Arial"/>
          <w:sz w:val="20"/>
        </w:rPr>
        <w:t>202</w:t>
      </w:r>
      <w:r w:rsidR="006937C1">
        <w:rPr>
          <w:rFonts w:ascii="Franklin Gothic Book" w:hAnsi="Franklin Gothic Book" w:cs="Arial"/>
          <w:sz w:val="20"/>
        </w:rPr>
        <w:t>4</w:t>
      </w:r>
      <w:r w:rsidR="00206064">
        <w:rPr>
          <w:rFonts w:ascii="Franklin Gothic Book" w:hAnsi="Franklin Gothic Book" w:cs="Arial"/>
          <w:sz w:val="20"/>
        </w:rPr>
        <w:t xml:space="preserve">, </w:t>
      </w:r>
      <w:r w:rsidR="006F0E1E">
        <w:rPr>
          <w:rFonts w:ascii="Franklin Gothic Book" w:hAnsi="Franklin Gothic Book" w:cs="Arial"/>
          <w:sz w:val="20"/>
        </w:rPr>
        <w:t xml:space="preserve">through June 30, </w:t>
      </w:r>
      <w:r w:rsidR="00206064">
        <w:rPr>
          <w:rFonts w:ascii="Franklin Gothic Book" w:hAnsi="Franklin Gothic Book" w:cs="Arial"/>
          <w:sz w:val="20"/>
        </w:rPr>
        <w:t>202</w:t>
      </w:r>
      <w:r w:rsidR="006937C1">
        <w:rPr>
          <w:rFonts w:ascii="Franklin Gothic Book" w:hAnsi="Franklin Gothic Book" w:cs="Arial"/>
          <w:sz w:val="20"/>
        </w:rPr>
        <w:t>5</w:t>
      </w:r>
      <w:r w:rsidR="006F0E1E">
        <w:rPr>
          <w:rFonts w:ascii="Franklin Gothic Book" w:hAnsi="Franklin Gothic Book" w:cs="Arial"/>
          <w:sz w:val="20"/>
        </w:rPr>
        <w:t>,</w:t>
      </w:r>
      <w:r w:rsidRPr="00330D57">
        <w:rPr>
          <w:rFonts w:ascii="Franklin Gothic Book" w:hAnsi="Franklin Gothic Book" w:cs="Arial"/>
          <w:sz w:val="20"/>
        </w:rPr>
        <w:t xml:space="preserve"> are unique to each hospital (see Question </w:t>
      </w:r>
      <w:r w:rsidR="00206064">
        <w:rPr>
          <w:rFonts w:ascii="Franklin Gothic Book" w:hAnsi="Franklin Gothic Book" w:cs="Arial"/>
          <w:sz w:val="20"/>
        </w:rPr>
        <w:t>22</w:t>
      </w:r>
      <w:r w:rsidRPr="00330D57">
        <w:rPr>
          <w:rFonts w:ascii="Franklin Gothic Book" w:hAnsi="Franklin Gothic Book" w:cs="Arial"/>
          <w:sz w:val="20"/>
        </w:rPr>
        <w:t xml:space="preserve">). </w:t>
      </w:r>
      <w:r w:rsidR="00DB66FC" w:rsidRPr="00330D57">
        <w:rPr>
          <w:rFonts w:ascii="Franklin Gothic Book" w:hAnsi="Franklin Gothic Book" w:cs="Arial"/>
          <w:sz w:val="20"/>
        </w:rPr>
        <w:t xml:space="preserve">Other DHW policies have an impact on payment. </w:t>
      </w:r>
      <w:r w:rsidRPr="00330D57">
        <w:rPr>
          <w:rFonts w:ascii="Franklin Gothic Book" w:hAnsi="Franklin Gothic Book" w:cs="Arial"/>
          <w:sz w:val="20"/>
        </w:rPr>
        <w:t xml:space="preserve">Policy adjustors based on age and Service Category act as multipliers to the relative weight or base rate (see Question </w:t>
      </w:r>
      <w:r w:rsidR="008E77FC" w:rsidRPr="00330D57">
        <w:rPr>
          <w:rFonts w:ascii="Franklin Gothic Book" w:hAnsi="Franklin Gothic Book" w:cs="Arial"/>
          <w:sz w:val="20"/>
        </w:rPr>
        <w:t>1</w:t>
      </w:r>
      <w:r w:rsidR="008E77FC">
        <w:rPr>
          <w:rFonts w:ascii="Franklin Gothic Book" w:hAnsi="Franklin Gothic Book" w:cs="Arial"/>
          <w:sz w:val="20"/>
        </w:rPr>
        <w:t>8</w:t>
      </w:r>
      <w:r w:rsidRPr="00330D57">
        <w:rPr>
          <w:rFonts w:ascii="Franklin Gothic Book" w:hAnsi="Franklin Gothic Book" w:cs="Arial"/>
          <w:sz w:val="20"/>
        </w:rPr>
        <w:t xml:space="preserve">). Other policies </w:t>
      </w:r>
      <w:r w:rsidR="0057153F" w:rsidRPr="00330D57">
        <w:rPr>
          <w:rFonts w:ascii="Franklin Gothic Book" w:hAnsi="Franklin Gothic Book" w:cs="Arial"/>
          <w:sz w:val="20"/>
        </w:rPr>
        <w:t xml:space="preserve">that affect payment are outlier payments (see Question </w:t>
      </w:r>
      <w:r w:rsidR="008E77FC" w:rsidRPr="00330D57">
        <w:rPr>
          <w:rFonts w:ascii="Franklin Gothic Book" w:hAnsi="Franklin Gothic Book" w:cs="Arial"/>
          <w:sz w:val="20"/>
        </w:rPr>
        <w:t>2</w:t>
      </w:r>
      <w:r w:rsidR="008E77FC">
        <w:rPr>
          <w:rFonts w:ascii="Franklin Gothic Book" w:hAnsi="Franklin Gothic Book" w:cs="Arial"/>
          <w:sz w:val="20"/>
        </w:rPr>
        <w:t>4</w:t>
      </w:r>
      <w:r w:rsidR="0057153F" w:rsidRPr="00330D57">
        <w:rPr>
          <w:rFonts w:ascii="Franklin Gothic Book" w:hAnsi="Franklin Gothic Book" w:cs="Arial"/>
          <w:sz w:val="20"/>
        </w:rPr>
        <w:t xml:space="preserve">), transfer adjustment (see Question </w:t>
      </w:r>
      <w:r w:rsidR="008E77FC" w:rsidRPr="00330D57">
        <w:rPr>
          <w:rFonts w:ascii="Franklin Gothic Book" w:hAnsi="Franklin Gothic Book" w:cs="Arial"/>
          <w:sz w:val="20"/>
        </w:rPr>
        <w:t>2</w:t>
      </w:r>
      <w:r w:rsidR="008E77FC">
        <w:rPr>
          <w:rFonts w:ascii="Franklin Gothic Book" w:hAnsi="Franklin Gothic Book" w:cs="Arial"/>
          <w:sz w:val="20"/>
        </w:rPr>
        <w:t>5</w:t>
      </w:r>
      <w:r w:rsidR="0057153F" w:rsidRPr="00330D57">
        <w:rPr>
          <w:rFonts w:ascii="Franklin Gothic Book" w:hAnsi="Franklin Gothic Book" w:cs="Arial"/>
          <w:sz w:val="20"/>
        </w:rPr>
        <w:t xml:space="preserve">), and charge limit (see Question </w:t>
      </w:r>
      <w:r w:rsidR="008E77FC" w:rsidRPr="00330D57">
        <w:rPr>
          <w:rFonts w:ascii="Franklin Gothic Book" w:hAnsi="Franklin Gothic Book" w:cs="Arial"/>
          <w:sz w:val="20"/>
        </w:rPr>
        <w:t>2</w:t>
      </w:r>
      <w:r w:rsidR="008E77FC">
        <w:rPr>
          <w:rFonts w:ascii="Franklin Gothic Book" w:hAnsi="Franklin Gothic Book" w:cs="Arial"/>
          <w:sz w:val="20"/>
        </w:rPr>
        <w:t>6</w:t>
      </w:r>
      <w:r w:rsidR="0057153F" w:rsidRPr="00330D57">
        <w:rPr>
          <w:rFonts w:ascii="Franklin Gothic Book" w:hAnsi="Franklin Gothic Book" w:cs="Arial"/>
          <w:sz w:val="20"/>
        </w:rPr>
        <w:t>).</w:t>
      </w:r>
    </w:p>
    <w:p w14:paraId="60C8A141" w14:textId="77777777" w:rsidR="0057153F" w:rsidRPr="00330D57" w:rsidRDefault="0057153F" w:rsidP="00110CA9">
      <w:pPr>
        <w:pStyle w:val="ListParagraph"/>
        <w:spacing w:after="120" w:line="240" w:lineRule="auto"/>
        <w:ind w:left="360"/>
        <w:rPr>
          <w:rFonts w:ascii="Franklin Gothic Book" w:hAnsi="Franklin Gothic Book" w:cs="Arial"/>
          <w:sz w:val="20"/>
        </w:rPr>
      </w:pPr>
    </w:p>
    <w:p w14:paraId="0BDF35A6" w14:textId="61FB0506" w:rsidR="00313AD2" w:rsidRPr="00330D57" w:rsidRDefault="00313AD2"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What was the process for determi</w:t>
      </w:r>
      <w:r w:rsidR="0044005E" w:rsidRPr="00330D57">
        <w:rPr>
          <w:rFonts w:ascii="Franklin Gothic Book" w:hAnsi="Franklin Gothic Book" w:cs="Arial"/>
          <w:b/>
          <w:color w:val="38939B"/>
          <w:sz w:val="24"/>
        </w:rPr>
        <w:t xml:space="preserve">ning the policies and rates for </w:t>
      </w:r>
      <w:r w:rsidR="008E77FC">
        <w:rPr>
          <w:rFonts w:ascii="Franklin Gothic Book" w:hAnsi="Franklin Gothic Book" w:cs="Arial"/>
          <w:b/>
          <w:color w:val="38939B"/>
          <w:sz w:val="24"/>
        </w:rPr>
        <w:t>update</w:t>
      </w:r>
      <w:r w:rsidR="008E77FC" w:rsidRPr="00330D57">
        <w:rPr>
          <w:rFonts w:ascii="Franklin Gothic Book" w:hAnsi="Franklin Gothic Book" w:cs="Arial"/>
          <w:b/>
          <w:color w:val="38939B"/>
          <w:sz w:val="24"/>
        </w:rPr>
        <w:t xml:space="preserve"> </w:t>
      </w:r>
      <w:r w:rsidRPr="00330D57">
        <w:rPr>
          <w:rFonts w:ascii="Franklin Gothic Book" w:hAnsi="Franklin Gothic Book" w:cs="Arial"/>
          <w:b/>
          <w:color w:val="38939B"/>
          <w:sz w:val="24"/>
        </w:rPr>
        <w:t xml:space="preserve">on </w:t>
      </w:r>
      <w:r w:rsidR="001E28B5">
        <w:rPr>
          <w:rFonts w:ascii="Franklin Gothic Book" w:hAnsi="Franklin Gothic Book" w:cs="Arial"/>
          <w:b/>
          <w:color w:val="38939B"/>
          <w:sz w:val="24"/>
        </w:rPr>
        <w:t>October</w:t>
      </w:r>
      <w:r w:rsidR="001E28B5" w:rsidRPr="00330D57">
        <w:rPr>
          <w:rFonts w:ascii="Franklin Gothic Book" w:hAnsi="Franklin Gothic Book" w:cs="Arial"/>
          <w:b/>
          <w:color w:val="38939B"/>
          <w:sz w:val="24"/>
        </w:rPr>
        <w:t xml:space="preserve"> </w:t>
      </w:r>
      <w:r w:rsidRPr="00330D57">
        <w:rPr>
          <w:rFonts w:ascii="Franklin Gothic Book" w:hAnsi="Franklin Gothic Book" w:cs="Arial"/>
          <w:b/>
          <w:color w:val="38939B"/>
          <w:sz w:val="24"/>
        </w:rPr>
        <w:t xml:space="preserve">1, </w:t>
      </w:r>
      <w:r w:rsidR="006937C1" w:rsidRPr="00330D57">
        <w:rPr>
          <w:rFonts w:ascii="Franklin Gothic Book" w:hAnsi="Franklin Gothic Book" w:cs="Arial"/>
          <w:b/>
          <w:color w:val="38939B"/>
          <w:sz w:val="24"/>
        </w:rPr>
        <w:t>202</w:t>
      </w:r>
      <w:r w:rsidR="006937C1">
        <w:rPr>
          <w:rFonts w:ascii="Franklin Gothic Book" w:hAnsi="Franklin Gothic Book" w:cs="Arial"/>
          <w:b/>
          <w:color w:val="38939B"/>
          <w:sz w:val="24"/>
        </w:rPr>
        <w:t>4</w:t>
      </w:r>
      <w:r w:rsidRPr="00330D57">
        <w:rPr>
          <w:rFonts w:ascii="Franklin Gothic Book" w:hAnsi="Franklin Gothic Book" w:cs="Arial"/>
          <w:b/>
          <w:color w:val="38939B"/>
          <w:sz w:val="24"/>
        </w:rPr>
        <w:t>?</w:t>
      </w:r>
    </w:p>
    <w:p w14:paraId="0D19DE86" w14:textId="5AEBC06F" w:rsidR="00D37C0E" w:rsidRDefault="0098213C"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DHW </w:t>
      </w:r>
      <w:r w:rsidR="00B81A5E" w:rsidRPr="00330D57">
        <w:rPr>
          <w:rFonts w:ascii="Franklin Gothic Book" w:hAnsi="Franklin Gothic Book" w:cs="Arial"/>
          <w:sz w:val="20"/>
        </w:rPr>
        <w:t xml:space="preserve">and Providers </w:t>
      </w:r>
      <w:r w:rsidRPr="00330D57">
        <w:rPr>
          <w:rFonts w:ascii="Franklin Gothic Book" w:hAnsi="Franklin Gothic Book" w:cs="Arial"/>
          <w:sz w:val="20"/>
        </w:rPr>
        <w:t>made decisions about policies and rates based on modelling that used claims data f</w:t>
      </w:r>
      <w:r w:rsidR="00C06908" w:rsidRPr="00330D57">
        <w:rPr>
          <w:rFonts w:ascii="Franklin Gothic Book" w:hAnsi="Franklin Gothic Book" w:cs="Arial"/>
          <w:sz w:val="20"/>
        </w:rPr>
        <w:t xml:space="preserve">rom </w:t>
      </w:r>
      <w:r w:rsidR="006937C1">
        <w:rPr>
          <w:rFonts w:ascii="Franklin Gothic Book" w:hAnsi="Franklin Gothic Book" w:cs="Arial"/>
          <w:sz w:val="20"/>
        </w:rPr>
        <w:t>SFY 2023</w:t>
      </w:r>
      <w:r w:rsidR="00C06908" w:rsidRPr="00330D57">
        <w:rPr>
          <w:rFonts w:ascii="Franklin Gothic Book" w:hAnsi="Franklin Gothic Book" w:cs="Arial"/>
          <w:sz w:val="20"/>
        </w:rPr>
        <w:t xml:space="preserve">. The models used </w:t>
      </w:r>
      <w:r w:rsidR="006937C1">
        <w:rPr>
          <w:rFonts w:ascii="Franklin Gothic Book" w:hAnsi="Franklin Gothic Book" w:cs="Arial"/>
          <w:sz w:val="20"/>
        </w:rPr>
        <w:t>30,515</w:t>
      </w:r>
      <w:r w:rsidRPr="00330D57">
        <w:rPr>
          <w:rFonts w:ascii="Franklin Gothic Book" w:hAnsi="Franklin Gothic Book" w:cs="Arial"/>
          <w:sz w:val="20"/>
        </w:rPr>
        <w:t xml:space="preserve"> inpatient claims for Idaho Medicaid beneficiaries at Idaho and out-of-state hospitals. The dataset excluded Medicaid beneficiaries dually eligible for Medicare, claims with </w:t>
      </w:r>
      <w:r w:rsidR="002A6969">
        <w:rPr>
          <w:rFonts w:ascii="Franklin Gothic Book" w:hAnsi="Franklin Gothic Book" w:cs="Arial"/>
          <w:sz w:val="20"/>
        </w:rPr>
        <w:t>various errors</w:t>
      </w:r>
      <w:r w:rsidR="008E77FC">
        <w:rPr>
          <w:rFonts w:ascii="Franklin Gothic Book" w:hAnsi="Franklin Gothic Book" w:cs="Arial"/>
          <w:sz w:val="20"/>
        </w:rPr>
        <w:t xml:space="preserve">, </w:t>
      </w:r>
      <w:r w:rsidRPr="00330D57">
        <w:rPr>
          <w:rFonts w:ascii="Franklin Gothic Book" w:hAnsi="Franklin Gothic Book" w:cs="Arial"/>
          <w:sz w:val="20"/>
        </w:rPr>
        <w:t>and claims that were assigned to error/ungroupable</w:t>
      </w:r>
      <w:r w:rsidR="00A02557" w:rsidRPr="00330D57">
        <w:rPr>
          <w:rFonts w:ascii="Franklin Gothic Book" w:hAnsi="Franklin Gothic Book" w:cs="Arial"/>
          <w:sz w:val="20"/>
        </w:rPr>
        <w:t xml:space="preserve"> </w:t>
      </w:r>
      <w:proofErr w:type="spellStart"/>
      <w:r w:rsidR="001723CE">
        <w:rPr>
          <w:rFonts w:ascii="Franklin Gothic Book" w:hAnsi="Franklin Gothic Book" w:cs="Arial"/>
          <w:sz w:val="20"/>
        </w:rPr>
        <w:t>Solventum</w:t>
      </w:r>
      <w:proofErr w:type="spellEnd"/>
      <w:r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s 955 and 956. </w:t>
      </w:r>
    </w:p>
    <w:p w14:paraId="43683C4F" w14:textId="3C01E48E" w:rsidR="008E77FC" w:rsidRDefault="008E77FC" w:rsidP="00110CA9">
      <w:pPr>
        <w:pStyle w:val="ListParagraph"/>
        <w:spacing w:after="120" w:line="240" w:lineRule="auto"/>
        <w:ind w:left="360"/>
        <w:rPr>
          <w:rFonts w:ascii="Franklin Gothic Book" w:hAnsi="Franklin Gothic Book" w:cs="Arial"/>
          <w:sz w:val="20"/>
        </w:rPr>
      </w:pPr>
    </w:p>
    <w:p w14:paraId="2FA9E850" w14:textId="78439B42" w:rsidR="008E77FC" w:rsidRDefault="008E77FC" w:rsidP="00110CA9">
      <w:pPr>
        <w:pStyle w:val="ListParagraph"/>
        <w:spacing w:after="120" w:line="240" w:lineRule="auto"/>
        <w:ind w:left="360"/>
        <w:rPr>
          <w:rFonts w:ascii="Franklin Gothic Book" w:hAnsi="Franklin Gothic Book" w:cs="Arial"/>
          <w:sz w:val="20"/>
        </w:rPr>
      </w:pPr>
      <w:r>
        <w:rPr>
          <w:rFonts w:ascii="Franklin Gothic Book" w:hAnsi="Franklin Gothic Book" w:cs="Arial"/>
          <w:sz w:val="20"/>
        </w:rPr>
        <w:t xml:space="preserve">All </w:t>
      </w:r>
      <w:r w:rsidR="002A6969">
        <w:rPr>
          <w:rFonts w:ascii="Franklin Gothic Book" w:hAnsi="Franklin Gothic Book" w:cs="Arial"/>
          <w:sz w:val="20"/>
        </w:rPr>
        <w:t>30,515</w:t>
      </w:r>
      <w:r>
        <w:rPr>
          <w:rFonts w:ascii="Franklin Gothic Book" w:hAnsi="Franklin Gothic Book" w:cs="Arial"/>
          <w:sz w:val="20"/>
        </w:rPr>
        <w:t xml:space="preserve"> </w:t>
      </w:r>
      <w:r w:rsidR="002A6969">
        <w:rPr>
          <w:rFonts w:ascii="Franklin Gothic Book" w:hAnsi="Franklin Gothic Book" w:cs="Arial"/>
          <w:sz w:val="20"/>
        </w:rPr>
        <w:t>SFY 2023</w:t>
      </w:r>
      <w:r>
        <w:rPr>
          <w:rFonts w:ascii="Franklin Gothic Book" w:hAnsi="Franklin Gothic Book" w:cs="Arial"/>
          <w:sz w:val="20"/>
        </w:rPr>
        <w:t xml:space="preserve"> claims were priced </w:t>
      </w:r>
      <w:r w:rsidR="00F81117">
        <w:rPr>
          <w:rFonts w:ascii="Franklin Gothic Book" w:hAnsi="Franklin Gothic Book" w:cs="Arial"/>
          <w:sz w:val="20"/>
        </w:rPr>
        <w:t xml:space="preserve">using current SFY </w:t>
      </w:r>
      <w:r w:rsidR="002A6969">
        <w:rPr>
          <w:rFonts w:ascii="Franklin Gothic Book" w:hAnsi="Franklin Gothic Book" w:cs="Arial"/>
          <w:sz w:val="20"/>
        </w:rPr>
        <w:t xml:space="preserve">2024 </w:t>
      </w:r>
      <w:r w:rsidR="00F81117">
        <w:rPr>
          <w:rFonts w:ascii="Franklin Gothic Book" w:hAnsi="Franklin Gothic Book" w:cs="Arial"/>
          <w:sz w:val="20"/>
        </w:rPr>
        <w:t xml:space="preserve">policies and values to provide a budget neutral payment target for modelling. Essentially, the target is what these claims would have paid if they had occurred in SFY </w:t>
      </w:r>
      <w:r w:rsidR="002A6969">
        <w:rPr>
          <w:rFonts w:ascii="Franklin Gothic Book" w:hAnsi="Franklin Gothic Book" w:cs="Arial"/>
          <w:sz w:val="20"/>
        </w:rPr>
        <w:t>2024</w:t>
      </w:r>
      <w:r w:rsidR="00F81117">
        <w:rPr>
          <w:rFonts w:ascii="Franklin Gothic Book" w:hAnsi="Franklin Gothic Book" w:cs="Arial"/>
          <w:sz w:val="20"/>
        </w:rPr>
        <w:t>.</w:t>
      </w:r>
    </w:p>
    <w:p w14:paraId="79107DE9" w14:textId="77777777" w:rsidR="008E77FC" w:rsidRPr="00330D57" w:rsidRDefault="008E77FC" w:rsidP="00110CA9">
      <w:pPr>
        <w:pStyle w:val="ListParagraph"/>
        <w:spacing w:after="120" w:line="240" w:lineRule="auto"/>
        <w:ind w:left="360"/>
        <w:rPr>
          <w:rFonts w:ascii="Franklin Gothic Book" w:hAnsi="Franklin Gothic Book" w:cs="Arial"/>
          <w:sz w:val="20"/>
        </w:rPr>
      </w:pPr>
    </w:p>
    <w:p w14:paraId="347A7D84" w14:textId="54A81A27" w:rsidR="00F3514C" w:rsidRPr="00330D57" w:rsidRDefault="00F3514C"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Cost was estimated </w:t>
      </w:r>
      <w:r w:rsidR="00F533FF" w:rsidRPr="00330D57">
        <w:rPr>
          <w:rFonts w:ascii="Franklin Gothic Book" w:hAnsi="Franklin Gothic Book" w:cs="Arial"/>
          <w:sz w:val="20"/>
        </w:rPr>
        <w:t xml:space="preserve">for all </w:t>
      </w:r>
      <w:r w:rsidR="002A6969">
        <w:rPr>
          <w:rFonts w:ascii="Franklin Gothic Book" w:hAnsi="Franklin Gothic Book" w:cs="Arial"/>
          <w:sz w:val="20"/>
        </w:rPr>
        <w:t>30,515</w:t>
      </w:r>
      <w:r w:rsidR="00F533FF" w:rsidRPr="00330D57">
        <w:rPr>
          <w:rFonts w:ascii="Franklin Gothic Book" w:hAnsi="Franklin Gothic Book" w:cs="Arial"/>
          <w:sz w:val="20"/>
        </w:rPr>
        <w:t xml:space="preserve"> claims in the dataset using a revenue code crosswalk that maps </w:t>
      </w:r>
      <w:r w:rsidR="0044005E" w:rsidRPr="00330D57">
        <w:rPr>
          <w:rFonts w:ascii="Franklin Gothic Book" w:hAnsi="Franklin Gothic Book" w:cs="Arial"/>
          <w:sz w:val="20"/>
        </w:rPr>
        <w:t xml:space="preserve">claim </w:t>
      </w:r>
      <w:r w:rsidR="00F533FF" w:rsidRPr="00330D57">
        <w:rPr>
          <w:rFonts w:ascii="Franklin Gothic Book" w:hAnsi="Franklin Gothic Book" w:cs="Arial"/>
          <w:sz w:val="20"/>
        </w:rPr>
        <w:t>detail line items to</w:t>
      </w:r>
      <w:r w:rsidR="0044005E" w:rsidRPr="00330D57">
        <w:rPr>
          <w:rFonts w:ascii="Franklin Gothic Book" w:hAnsi="Franklin Gothic Book" w:cs="Arial"/>
          <w:sz w:val="20"/>
        </w:rPr>
        <w:t xml:space="preserve"> </w:t>
      </w:r>
      <w:r w:rsidR="00F533FF" w:rsidRPr="00330D57">
        <w:rPr>
          <w:rFonts w:ascii="Franklin Gothic Book" w:hAnsi="Franklin Gothic Book" w:cs="Arial"/>
          <w:sz w:val="20"/>
        </w:rPr>
        <w:t xml:space="preserve">centers on a hospital’s </w:t>
      </w:r>
      <w:r w:rsidR="0044005E" w:rsidRPr="00330D57">
        <w:rPr>
          <w:rFonts w:ascii="Franklin Gothic Book" w:hAnsi="Franklin Gothic Book" w:cs="Arial"/>
          <w:sz w:val="20"/>
        </w:rPr>
        <w:t xml:space="preserve">Medicare </w:t>
      </w:r>
      <w:r w:rsidR="00F533FF" w:rsidRPr="00330D57">
        <w:rPr>
          <w:rFonts w:ascii="Franklin Gothic Book" w:hAnsi="Franklin Gothic Book" w:cs="Arial"/>
          <w:sz w:val="20"/>
        </w:rPr>
        <w:t>cost report</w:t>
      </w:r>
      <w:r w:rsidR="0044005E" w:rsidRPr="00330D57">
        <w:rPr>
          <w:rFonts w:ascii="Franklin Gothic Book" w:hAnsi="Franklin Gothic Book" w:cs="Arial"/>
          <w:sz w:val="20"/>
        </w:rPr>
        <w:t xml:space="preserve"> (or the </w:t>
      </w:r>
      <w:r w:rsidR="00F533FF" w:rsidRPr="00330D57">
        <w:rPr>
          <w:rFonts w:ascii="Franklin Gothic Book" w:hAnsi="Franklin Gothic Book" w:cs="Arial"/>
          <w:sz w:val="20"/>
        </w:rPr>
        <w:t xml:space="preserve">average cost-to-charge ratio for claims at </w:t>
      </w:r>
      <w:r w:rsidR="00DA02B0" w:rsidRPr="00330D57">
        <w:rPr>
          <w:rFonts w:ascii="Franklin Gothic Book" w:hAnsi="Franklin Gothic Book" w:cs="Arial"/>
          <w:sz w:val="20"/>
        </w:rPr>
        <w:t>facilities</w:t>
      </w:r>
      <w:r w:rsidR="00F533FF" w:rsidRPr="00330D57">
        <w:rPr>
          <w:rFonts w:ascii="Franklin Gothic Book" w:hAnsi="Franklin Gothic Book" w:cs="Arial"/>
          <w:sz w:val="20"/>
        </w:rPr>
        <w:t xml:space="preserve"> with no cost report available). Costs </w:t>
      </w:r>
      <w:r w:rsidR="008E77FC">
        <w:rPr>
          <w:rFonts w:ascii="Franklin Gothic Book" w:hAnsi="Franklin Gothic Book" w:cs="Arial"/>
          <w:sz w:val="20"/>
        </w:rPr>
        <w:t xml:space="preserve">for out-of-state hospitals </w:t>
      </w:r>
      <w:r w:rsidR="00F533FF" w:rsidRPr="00330D57">
        <w:rPr>
          <w:rFonts w:ascii="Franklin Gothic Book" w:hAnsi="Franklin Gothic Book" w:cs="Arial"/>
          <w:sz w:val="20"/>
        </w:rPr>
        <w:t xml:space="preserve">were then multiplied by 87% </w:t>
      </w:r>
      <w:r w:rsidR="008E77FC">
        <w:rPr>
          <w:rFonts w:ascii="Franklin Gothic Book" w:hAnsi="Franklin Gothic Book" w:cs="Arial"/>
          <w:sz w:val="20"/>
        </w:rPr>
        <w:t>to provide the aggregate budget target required by HB 351</w:t>
      </w:r>
      <w:r w:rsidR="00F533FF" w:rsidRPr="00330D57">
        <w:rPr>
          <w:rFonts w:ascii="Franklin Gothic Book" w:hAnsi="Franklin Gothic Book" w:cs="Arial"/>
          <w:sz w:val="20"/>
        </w:rPr>
        <w:t>.</w:t>
      </w:r>
    </w:p>
    <w:p w14:paraId="5AC5E39D" w14:textId="77777777" w:rsidR="00D272F3" w:rsidRPr="00330D57" w:rsidRDefault="00D272F3" w:rsidP="00110CA9">
      <w:pPr>
        <w:pStyle w:val="ListParagraph"/>
        <w:spacing w:after="120" w:line="240" w:lineRule="auto"/>
        <w:ind w:left="360"/>
        <w:rPr>
          <w:rFonts w:ascii="Franklin Gothic Book" w:hAnsi="Franklin Gothic Book" w:cs="Arial"/>
          <w:sz w:val="20"/>
        </w:rPr>
      </w:pPr>
    </w:p>
    <w:p w14:paraId="0736808A" w14:textId="77777777" w:rsidR="00C06908" w:rsidRPr="00330D57" w:rsidRDefault="00C06908"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What are Service Categories? How are they classified and used?</w:t>
      </w:r>
    </w:p>
    <w:p w14:paraId="50EDE4D4" w14:textId="1C8263E9" w:rsidR="007A11B6" w:rsidRPr="00330D57" w:rsidRDefault="007A11B6"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Service Categories </w:t>
      </w:r>
      <w:r w:rsidR="00401331" w:rsidRPr="00330D57">
        <w:rPr>
          <w:rFonts w:ascii="Franklin Gothic Book" w:hAnsi="Franklin Gothic Book" w:cs="Arial"/>
          <w:sz w:val="20"/>
        </w:rPr>
        <w:t xml:space="preserve">classify </w:t>
      </w:r>
      <w:proofErr w:type="spellStart"/>
      <w:r w:rsidR="001723CE">
        <w:rPr>
          <w:rFonts w:ascii="Franklin Gothic Book" w:hAnsi="Franklin Gothic Book" w:cs="Arial"/>
          <w:sz w:val="20"/>
        </w:rPr>
        <w:t>Solventum</w:t>
      </w:r>
      <w:proofErr w:type="spellEnd"/>
      <w:r w:rsidR="00F05B92" w:rsidRPr="00330D57">
        <w:rPr>
          <w:rFonts w:ascii="Franklin Gothic Book" w:hAnsi="Franklin Gothic Book" w:cs="Arial"/>
          <w:sz w:val="20"/>
        </w:rPr>
        <w:t xml:space="preserve"> </w:t>
      </w:r>
      <w:r w:rsidR="00423B12">
        <w:rPr>
          <w:rFonts w:ascii="Franklin Gothic Book" w:hAnsi="Franklin Gothic Book" w:cs="Arial"/>
          <w:sz w:val="20"/>
        </w:rPr>
        <w:t>APR DRG</w:t>
      </w:r>
      <w:r w:rsidR="00401331" w:rsidRPr="00330D57">
        <w:rPr>
          <w:rFonts w:ascii="Franklin Gothic Book" w:hAnsi="Franklin Gothic Book" w:cs="Arial"/>
          <w:sz w:val="20"/>
        </w:rPr>
        <w:t>s</w:t>
      </w:r>
      <w:r w:rsidRPr="00330D57">
        <w:rPr>
          <w:rFonts w:ascii="Franklin Gothic Book" w:hAnsi="Franklin Gothic Book" w:cs="Arial"/>
          <w:sz w:val="20"/>
        </w:rPr>
        <w:t xml:space="preserve"> into </w:t>
      </w:r>
      <w:proofErr w:type="gramStart"/>
      <w:r w:rsidRPr="00330D57">
        <w:rPr>
          <w:rFonts w:ascii="Franklin Gothic Book" w:hAnsi="Franklin Gothic Book" w:cs="Arial"/>
          <w:sz w:val="20"/>
        </w:rPr>
        <w:t>clinically-related</w:t>
      </w:r>
      <w:proofErr w:type="gramEnd"/>
      <w:r w:rsidRPr="00330D57">
        <w:rPr>
          <w:rFonts w:ascii="Franklin Gothic Book" w:hAnsi="Franklin Gothic Book" w:cs="Arial"/>
          <w:sz w:val="20"/>
        </w:rPr>
        <w:t xml:space="preserve"> groups as defined by DHW. </w:t>
      </w:r>
      <w:r w:rsidR="00F6218B" w:rsidRPr="00330D57">
        <w:rPr>
          <w:rFonts w:ascii="Franklin Gothic Book" w:hAnsi="Franklin Gothic Book" w:cs="Arial"/>
          <w:sz w:val="20"/>
        </w:rPr>
        <w:t xml:space="preserve">Each of the 1,330 </w:t>
      </w:r>
      <w:proofErr w:type="spellStart"/>
      <w:r w:rsidR="001723CE">
        <w:rPr>
          <w:rFonts w:ascii="Franklin Gothic Book" w:hAnsi="Franklin Gothic Book" w:cs="Arial"/>
          <w:sz w:val="20"/>
        </w:rPr>
        <w:t>Solventum</w:t>
      </w:r>
      <w:proofErr w:type="spellEnd"/>
      <w:r w:rsidR="00F05B92" w:rsidRPr="00330D57">
        <w:rPr>
          <w:rFonts w:ascii="Franklin Gothic Book" w:hAnsi="Franklin Gothic Book" w:cs="Arial"/>
          <w:sz w:val="20"/>
        </w:rPr>
        <w:t xml:space="preserve"> </w:t>
      </w:r>
      <w:r w:rsidR="00423B12">
        <w:rPr>
          <w:rFonts w:ascii="Franklin Gothic Book" w:hAnsi="Franklin Gothic Book" w:cs="Arial"/>
          <w:sz w:val="20"/>
        </w:rPr>
        <w:t>APR DRG</w:t>
      </w:r>
      <w:r w:rsidR="00F6218B" w:rsidRPr="00330D57">
        <w:rPr>
          <w:rFonts w:ascii="Franklin Gothic Book" w:hAnsi="Franklin Gothic Book" w:cs="Arial"/>
          <w:sz w:val="20"/>
        </w:rPr>
        <w:t xml:space="preserve">s is assigned to 1 of 9 Service Categories. This classification allows for utilization and payment measurement and comparisons across different types of service. These classifications also serve as the basis for Service Category policy adjustors. The table below shows the </w:t>
      </w:r>
      <w:proofErr w:type="spellStart"/>
      <w:r w:rsidR="001723CE">
        <w:rPr>
          <w:rFonts w:ascii="Franklin Gothic Book" w:hAnsi="Franklin Gothic Book" w:cs="Arial"/>
          <w:sz w:val="20"/>
        </w:rPr>
        <w:t>Solventum</w:t>
      </w:r>
      <w:proofErr w:type="spellEnd"/>
      <w:r w:rsidR="00F05B92" w:rsidRPr="00330D57">
        <w:rPr>
          <w:rFonts w:ascii="Franklin Gothic Book" w:hAnsi="Franklin Gothic Book" w:cs="Arial"/>
          <w:sz w:val="20"/>
        </w:rPr>
        <w:t xml:space="preserve"> </w:t>
      </w:r>
      <w:r w:rsidR="00423B12">
        <w:rPr>
          <w:rFonts w:ascii="Franklin Gothic Book" w:hAnsi="Franklin Gothic Book" w:cs="Arial"/>
          <w:sz w:val="20"/>
        </w:rPr>
        <w:t>APR DRG</w:t>
      </w:r>
      <w:r w:rsidR="00F6218B" w:rsidRPr="00330D57">
        <w:rPr>
          <w:rFonts w:ascii="Franklin Gothic Book" w:hAnsi="Franklin Gothic Book" w:cs="Arial"/>
          <w:sz w:val="20"/>
        </w:rPr>
        <w:t>s included in each Service Category.</w:t>
      </w:r>
    </w:p>
    <w:tbl>
      <w:tblPr>
        <w:tblW w:w="0" w:type="auto"/>
        <w:jc w:val="center"/>
        <w:tblLook w:val="04A0" w:firstRow="1" w:lastRow="0" w:firstColumn="1" w:lastColumn="0" w:noHBand="0" w:noVBand="1"/>
      </w:tblPr>
      <w:tblGrid>
        <w:gridCol w:w="1483"/>
        <w:gridCol w:w="7867"/>
      </w:tblGrid>
      <w:tr w:rsidR="00F6218B" w:rsidRPr="000924A9" w14:paraId="6562A5A8" w14:textId="77777777" w:rsidTr="00D272F3">
        <w:trPr>
          <w:trHeight w:val="3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9CC5CA"/>
            <w:noWrap/>
            <w:vAlign w:val="center"/>
            <w:hideMark/>
          </w:tcPr>
          <w:p w14:paraId="517089C8" w14:textId="0A822B26" w:rsidR="00F6218B" w:rsidRPr="000924A9" w:rsidRDefault="00F6218B">
            <w:pPr>
              <w:spacing w:after="120" w:line="240" w:lineRule="auto"/>
              <w:jc w:val="center"/>
              <w:rPr>
                <w:rFonts w:ascii="Franklin Gothic Book" w:eastAsia="Times New Roman" w:hAnsi="Franklin Gothic Book" w:cs="Arial"/>
                <w:b/>
                <w:bCs/>
                <w:color w:val="000000"/>
                <w:sz w:val="18"/>
                <w:szCs w:val="16"/>
              </w:rPr>
            </w:pPr>
            <w:r w:rsidRPr="000924A9">
              <w:rPr>
                <w:rFonts w:ascii="Franklin Gothic Book" w:eastAsia="Times New Roman" w:hAnsi="Franklin Gothic Book" w:cs="Arial"/>
                <w:b/>
                <w:bCs/>
                <w:color w:val="000000"/>
                <w:sz w:val="18"/>
                <w:szCs w:val="16"/>
              </w:rPr>
              <w:t xml:space="preserve">Service Category </w:t>
            </w:r>
            <w:proofErr w:type="spellStart"/>
            <w:r w:rsidR="001723CE" w:rsidRPr="000924A9">
              <w:rPr>
                <w:rFonts w:ascii="Franklin Gothic Book" w:eastAsia="Times New Roman" w:hAnsi="Franklin Gothic Book" w:cs="Arial"/>
                <w:b/>
                <w:bCs/>
                <w:color w:val="000000"/>
                <w:sz w:val="18"/>
                <w:szCs w:val="16"/>
              </w:rPr>
              <w:t>Solventum</w:t>
            </w:r>
            <w:proofErr w:type="spellEnd"/>
            <w:r w:rsidR="00F05B92" w:rsidRPr="000924A9">
              <w:rPr>
                <w:rFonts w:ascii="Franklin Gothic Book" w:eastAsia="Times New Roman" w:hAnsi="Franklin Gothic Book" w:cs="Arial"/>
                <w:b/>
                <w:bCs/>
                <w:color w:val="000000"/>
                <w:sz w:val="18"/>
                <w:szCs w:val="16"/>
              </w:rPr>
              <w:t xml:space="preserve"> </w:t>
            </w:r>
            <w:r w:rsidR="00423B12" w:rsidRPr="000924A9">
              <w:rPr>
                <w:rFonts w:ascii="Franklin Gothic Book" w:eastAsia="Times New Roman" w:hAnsi="Franklin Gothic Book" w:cs="Arial"/>
                <w:b/>
                <w:bCs/>
                <w:color w:val="000000"/>
                <w:sz w:val="18"/>
                <w:szCs w:val="16"/>
              </w:rPr>
              <w:t>APR DRG</w:t>
            </w:r>
            <w:r w:rsidRPr="000924A9">
              <w:rPr>
                <w:rFonts w:ascii="Franklin Gothic Book" w:eastAsia="Times New Roman" w:hAnsi="Franklin Gothic Book" w:cs="Arial"/>
                <w:b/>
                <w:bCs/>
                <w:color w:val="000000"/>
                <w:sz w:val="18"/>
                <w:szCs w:val="16"/>
              </w:rPr>
              <w:t xml:space="preserve"> Ranges for SFY </w:t>
            </w:r>
            <w:r w:rsidR="00756DDD" w:rsidRPr="000924A9">
              <w:rPr>
                <w:rFonts w:ascii="Franklin Gothic Book" w:eastAsia="Times New Roman" w:hAnsi="Franklin Gothic Book" w:cs="Arial"/>
                <w:b/>
                <w:bCs/>
                <w:color w:val="000000"/>
                <w:sz w:val="18"/>
                <w:szCs w:val="16"/>
              </w:rPr>
              <w:t>2025</w:t>
            </w:r>
          </w:p>
        </w:tc>
      </w:tr>
      <w:tr w:rsidR="00F6218B" w:rsidRPr="000924A9" w14:paraId="18799F68" w14:textId="77777777" w:rsidTr="00D272F3">
        <w:trPr>
          <w:trHeight w:val="288"/>
          <w:jc w:val="center"/>
        </w:trPr>
        <w:tc>
          <w:tcPr>
            <w:tcW w:w="0" w:type="auto"/>
            <w:tcBorders>
              <w:top w:val="nil"/>
              <w:left w:val="single" w:sz="4" w:space="0" w:color="auto"/>
              <w:bottom w:val="single" w:sz="4" w:space="0" w:color="auto"/>
              <w:right w:val="nil"/>
            </w:tcBorders>
            <w:shd w:val="clear" w:color="000000" w:fill="7AC142"/>
            <w:vAlign w:val="center"/>
            <w:hideMark/>
          </w:tcPr>
          <w:p w14:paraId="1479FC5E" w14:textId="77777777" w:rsidR="00F6218B" w:rsidRPr="000924A9" w:rsidRDefault="00F6218B" w:rsidP="00110CA9">
            <w:pPr>
              <w:spacing w:after="120" w:line="240" w:lineRule="auto"/>
              <w:jc w:val="center"/>
              <w:rPr>
                <w:rFonts w:ascii="Franklin Gothic Book" w:eastAsia="Times New Roman" w:hAnsi="Franklin Gothic Book" w:cs="Arial"/>
                <w:b/>
                <w:bCs/>
                <w:color w:val="000000"/>
                <w:sz w:val="18"/>
                <w:szCs w:val="16"/>
              </w:rPr>
            </w:pPr>
            <w:r w:rsidRPr="000924A9">
              <w:rPr>
                <w:rFonts w:ascii="Franklin Gothic Book" w:eastAsia="Times New Roman" w:hAnsi="Franklin Gothic Book" w:cs="Arial"/>
                <w:b/>
                <w:bCs/>
                <w:color w:val="000000"/>
                <w:sz w:val="18"/>
                <w:szCs w:val="16"/>
              </w:rPr>
              <w:t>Service Category</w:t>
            </w:r>
          </w:p>
        </w:tc>
        <w:tc>
          <w:tcPr>
            <w:tcW w:w="0" w:type="auto"/>
            <w:tcBorders>
              <w:top w:val="nil"/>
              <w:left w:val="nil"/>
              <w:bottom w:val="single" w:sz="4" w:space="0" w:color="auto"/>
              <w:right w:val="single" w:sz="4" w:space="0" w:color="auto"/>
            </w:tcBorders>
            <w:shd w:val="clear" w:color="000000" w:fill="7AC142"/>
            <w:vAlign w:val="center"/>
            <w:hideMark/>
          </w:tcPr>
          <w:p w14:paraId="26D36FED" w14:textId="4AADA622" w:rsidR="00F6218B" w:rsidRPr="000924A9" w:rsidRDefault="001723CE" w:rsidP="00110CA9">
            <w:pPr>
              <w:spacing w:after="120" w:line="240" w:lineRule="auto"/>
              <w:jc w:val="center"/>
              <w:rPr>
                <w:rFonts w:ascii="Franklin Gothic Book" w:eastAsia="Times New Roman" w:hAnsi="Franklin Gothic Book" w:cs="Arial"/>
                <w:b/>
                <w:bCs/>
                <w:color w:val="000000"/>
                <w:sz w:val="18"/>
                <w:szCs w:val="16"/>
              </w:rPr>
            </w:pPr>
            <w:proofErr w:type="spellStart"/>
            <w:r w:rsidRPr="000924A9">
              <w:rPr>
                <w:rFonts w:ascii="Franklin Gothic Book" w:eastAsia="Times New Roman" w:hAnsi="Franklin Gothic Book" w:cs="Arial"/>
                <w:b/>
                <w:bCs/>
                <w:color w:val="000000"/>
                <w:sz w:val="18"/>
                <w:szCs w:val="16"/>
              </w:rPr>
              <w:t>Solventum</w:t>
            </w:r>
            <w:proofErr w:type="spellEnd"/>
            <w:r w:rsidR="00F05B92" w:rsidRPr="000924A9">
              <w:rPr>
                <w:rFonts w:ascii="Franklin Gothic Book" w:eastAsia="Times New Roman" w:hAnsi="Franklin Gothic Book" w:cs="Arial"/>
                <w:b/>
                <w:bCs/>
                <w:color w:val="000000"/>
                <w:sz w:val="18"/>
                <w:szCs w:val="16"/>
              </w:rPr>
              <w:t xml:space="preserve"> </w:t>
            </w:r>
            <w:r w:rsidR="00423B12" w:rsidRPr="000924A9">
              <w:rPr>
                <w:rFonts w:ascii="Franklin Gothic Book" w:eastAsia="Times New Roman" w:hAnsi="Franklin Gothic Book" w:cs="Arial"/>
                <w:b/>
                <w:bCs/>
                <w:color w:val="000000"/>
                <w:sz w:val="18"/>
                <w:szCs w:val="16"/>
              </w:rPr>
              <w:t>APR DRG</w:t>
            </w:r>
            <w:r w:rsidR="00F6218B" w:rsidRPr="000924A9">
              <w:rPr>
                <w:rFonts w:ascii="Franklin Gothic Book" w:eastAsia="Times New Roman" w:hAnsi="Franklin Gothic Book" w:cs="Arial"/>
                <w:b/>
                <w:bCs/>
                <w:color w:val="000000"/>
                <w:sz w:val="18"/>
                <w:szCs w:val="16"/>
              </w:rPr>
              <w:t>s Range</w:t>
            </w:r>
          </w:p>
        </w:tc>
      </w:tr>
      <w:tr w:rsidR="00F6218B" w:rsidRPr="000924A9" w14:paraId="74D7E0D6" w14:textId="77777777" w:rsidTr="00D272F3">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E51720"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Transplant</w:t>
            </w:r>
          </w:p>
        </w:tc>
        <w:tc>
          <w:tcPr>
            <w:tcW w:w="0" w:type="auto"/>
            <w:tcBorders>
              <w:top w:val="nil"/>
              <w:left w:val="nil"/>
              <w:bottom w:val="single" w:sz="4" w:space="0" w:color="auto"/>
              <w:right w:val="single" w:sz="4" w:space="0" w:color="auto"/>
            </w:tcBorders>
            <w:shd w:val="clear" w:color="auto" w:fill="auto"/>
            <w:vAlign w:val="bottom"/>
            <w:hideMark/>
          </w:tcPr>
          <w:p w14:paraId="4BB4DEE5"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 001-002, 006, 440 </w:t>
            </w:r>
          </w:p>
        </w:tc>
      </w:tr>
      <w:tr w:rsidR="00F6218B" w:rsidRPr="000924A9" w14:paraId="1B338B6A" w14:textId="77777777" w:rsidTr="00D272F3">
        <w:trPr>
          <w:trHeight w:val="6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D9764B"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Med/Surg</w:t>
            </w:r>
          </w:p>
        </w:tc>
        <w:tc>
          <w:tcPr>
            <w:tcW w:w="0" w:type="auto"/>
            <w:tcBorders>
              <w:top w:val="nil"/>
              <w:left w:val="nil"/>
              <w:bottom w:val="single" w:sz="4" w:space="0" w:color="auto"/>
              <w:right w:val="single" w:sz="4" w:space="0" w:color="auto"/>
            </w:tcBorders>
            <w:shd w:val="clear" w:color="auto" w:fill="auto"/>
            <w:vAlign w:val="bottom"/>
            <w:hideMark/>
          </w:tcPr>
          <w:p w14:paraId="699BDB28"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 004-005, 007-008, 020-023, 026-040, 042-098, 111-115, 130-134, 137-145, 193, 197, 199, 204, 220-234, 241-280, 282-342, 344-381, 383-427, 441-443, 445-447, 462-484, 501-519, 531-532, 650-681, 692, 710-740, 792-850, 861-862, 890-952 </w:t>
            </w:r>
          </w:p>
        </w:tc>
      </w:tr>
      <w:tr w:rsidR="00F6218B" w:rsidRPr="000924A9" w14:paraId="60A029FC" w14:textId="77777777" w:rsidTr="00D272F3">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781AFB"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Oncology</w:t>
            </w:r>
          </w:p>
        </w:tc>
        <w:tc>
          <w:tcPr>
            <w:tcW w:w="0" w:type="auto"/>
            <w:tcBorders>
              <w:top w:val="nil"/>
              <w:left w:val="nil"/>
              <w:bottom w:val="single" w:sz="4" w:space="0" w:color="auto"/>
              <w:right w:val="single" w:sz="4" w:space="0" w:color="auto"/>
            </w:tcBorders>
            <w:shd w:val="clear" w:color="auto" w:fill="auto"/>
            <w:vAlign w:val="bottom"/>
            <w:hideMark/>
          </w:tcPr>
          <w:p w14:paraId="51AFCEDF"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 041, 110, 136, 240, 281, 343, 382, 461, 500, 530, 690-691, 694-696 </w:t>
            </w:r>
          </w:p>
        </w:tc>
      </w:tr>
      <w:tr w:rsidR="00F6218B" w:rsidRPr="000924A9" w14:paraId="422D5AE4" w14:textId="77777777" w:rsidTr="00D272F3">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7794BD"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Cardiovascular</w:t>
            </w:r>
          </w:p>
        </w:tc>
        <w:tc>
          <w:tcPr>
            <w:tcW w:w="0" w:type="auto"/>
            <w:tcBorders>
              <w:top w:val="nil"/>
              <w:left w:val="nil"/>
              <w:bottom w:val="single" w:sz="4" w:space="0" w:color="auto"/>
              <w:right w:val="single" w:sz="4" w:space="0" w:color="auto"/>
            </w:tcBorders>
            <w:shd w:val="clear" w:color="auto" w:fill="auto"/>
            <w:vAlign w:val="bottom"/>
            <w:hideMark/>
          </w:tcPr>
          <w:p w14:paraId="359221F4"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 009, 024, 120-121, 135, 160-192, 194-196, 198, 200, 203, 205-207, 444 </w:t>
            </w:r>
          </w:p>
        </w:tc>
      </w:tr>
      <w:tr w:rsidR="00F6218B" w:rsidRPr="000924A9" w14:paraId="7E34B6EF" w14:textId="77777777" w:rsidTr="00D272F3">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4C115"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Obstetrics</w:t>
            </w:r>
          </w:p>
        </w:tc>
        <w:tc>
          <w:tcPr>
            <w:tcW w:w="0" w:type="auto"/>
            <w:tcBorders>
              <w:top w:val="nil"/>
              <w:left w:val="nil"/>
              <w:bottom w:val="single" w:sz="4" w:space="0" w:color="auto"/>
              <w:right w:val="single" w:sz="4" w:space="0" w:color="auto"/>
            </w:tcBorders>
            <w:shd w:val="clear" w:color="auto" w:fill="auto"/>
            <w:vAlign w:val="bottom"/>
            <w:hideMark/>
          </w:tcPr>
          <w:p w14:paraId="0E701DD2"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 539-566 </w:t>
            </w:r>
          </w:p>
        </w:tc>
      </w:tr>
      <w:tr w:rsidR="00F6218B" w:rsidRPr="000924A9" w14:paraId="07A1D92F" w14:textId="77777777" w:rsidTr="00D272F3">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5AF120"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Normal newborn</w:t>
            </w:r>
          </w:p>
        </w:tc>
        <w:tc>
          <w:tcPr>
            <w:tcW w:w="0" w:type="auto"/>
            <w:tcBorders>
              <w:top w:val="nil"/>
              <w:left w:val="nil"/>
              <w:bottom w:val="single" w:sz="4" w:space="0" w:color="auto"/>
              <w:right w:val="single" w:sz="4" w:space="0" w:color="auto"/>
            </w:tcBorders>
            <w:shd w:val="clear" w:color="auto" w:fill="auto"/>
            <w:vAlign w:val="bottom"/>
            <w:hideMark/>
          </w:tcPr>
          <w:p w14:paraId="06E12DAC"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 626 (SOI 1-2), 640 (SOI 1-3) </w:t>
            </w:r>
          </w:p>
        </w:tc>
      </w:tr>
      <w:tr w:rsidR="00F6218B" w:rsidRPr="000924A9" w14:paraId="63A68B3C" w14:textId="77777777" w:rsidTr="00D272F3">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58E4E"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Neonate</w:t>
            </w:r>
          </w:p>
        </w:tc>
        <w:tc>
          <w:tcPr>
            <w:tcW w:w="0" w:type="auto"/>
            <w:tcBorders>
              <w:top w:val="nil"/>
              <w:left w:val="nil"/>
              <w:bottom w:val="single" w:sz="4" w:space="0" w:color="auto"/>
              <w:right w:val="single" w:sz="4" w:space="0" w:color="auto"/>
            </w:tcBorders>
            <w:shd w:val="clear" w:color="auto" w:fill="auto"/>
            <w:vAlign w:val="bottom"/>
            <w:hideMark/>
          </w:tcPr>
          <w:p w14:paraId="410122F3"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 580-625, 626 (SOI 3-4), 630-639, 640 (SOI 4), 863 </w:t>
            </w:r>
          </w:p>
        </w:tc>
      </w:tr>
      <w:tr w:rsidR="00F6218B" w:rsidRPr="000924A9" w14:paraId="6F90CF16" w14:textId="77777777" w:rsidTr="00D272F3">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38572A" w14:textId="60D8274F"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MH/SA</w:t>
            </w:r>
            <w:r w:rsidR="00563BFF" w:rsidRPr="000924A9">
              <w:rPr>
                <w:rFonts w:ascii="Franklin Gothic Book" w:eastAsia="Times New Roman" w:hAnsi="Franklin Gothic Book" w:cs="Arial"/>
                <w:color w:val="000000"/>
                <w:sz w:val="18"/>
                <w:szCs w:val="16"/>
              </w:rPr>
              <w:t>*</w:t>
            </w:r>
          </w:p>
        </w:tc>
        <w:tc>
          <w:tcPr>
            <w:tcW w:w="0" w:type="auto"/>
            <w:tcBorders>
              <w:top w:val="nil"/>
              <w:left w:val="nil"/>
              <w:bottom w:val="single" w:sz="4" w:space="0" w:color="auto"/>
              <w:right w:val="single" w:sz="4" w:space="0" w:color="auto"/>
            </w:tcBorders>
            <w:shd w:val="clear" w:color="auto" w:fill="auto"/>
            <w:vAlign w:val="bottom"/>
            <w:hideMark/>
          </w:tcPr>
          <w:p w14:paraId="17749BFC"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 750-776 </w:t>
            </w:r>
          </w:p>
        </w:tc>
      </w:tr>
      <w:tr w:rsidR="00F6218B" w:rsidRPr="000924A9" w14:paraId="2CBC9220" w14:textId="77777777" w:rsidTr="00D272F3">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657635"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Rehab</w:t>
            </w:r>
          </w:p>
        </w:tc>
        <w:tc>
          <w:tcPr>
            <w:tcW w:w="0" w:type="auto"/>
            <w:tcBorders>
              <w:top w:val="nil"/>
              <w:left w:val="nil"/>
              <w:bottom w:val="single" w:sz="4" w:space="0" w:color="auto"/>
              <w:right w:val="single" w:sz="4" w:space="0" w:color="auto"/>
            </w:tcBorders>
            <w:shd w:val="clear" w:color="auto" w:fill="auto"/>
            <w:vAlign w:val="bottom"/>
            <w:hideMark/>
          </w:tcPr>
          <w:p w14:paraId="4C74826E" w14:textId="77777777" w:rsidR="00F6218B" w:rsidRPr="000924A9" w:rsidRDefault="00F6218B"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 860 </w:t>
            </w:r>
          </w:p>
        </w:tc>
      </w:tr>
    </w:tbl>
    <w:p w14:paraId="5CA2A4EC" w14:textId="546A43E1" w:rsidR="004B4D05" w:rsidRPr="0007069D" w:rsidRDefault="00563BFF" w:rsidP="00110CA9">
      <w:pPr>
        <w:spacing w:after="120" w:line="240" w:lineRule="auto"/>
        <w:rPr>
          <w:rFonts w:ascii="Franklin Gothic Book" w:hAnsi="Franklin Gothic Book" w:cs="Arial"/>
          <w:color w:val="38939B"/>
          <w:sz w:val="16"/>
          <w:szCs w:val="16"/>
        </w:rPr>
      </w:pPr>
      <w:r w:rsidRPr="0007069D">
        <w:rPr>
          <w:rFonts w:ascii="Franklin Gothic Book" w:hAnsi="Franklin Gothic Book" w:cs="Arial"/>
          <w:color w:val="38939B"/>
          <w:sz w:val="16"/>
          <w:szCs w:val="16"/>
        </w:rPr>
        <w:t>*Mental Health/Substance Abuse</w:t>
      </w:r>
    </w:p>
    <w:p w14:paraId="5185A071" w14:textId="7E6AA757" w:rsidR="00DB66FC" w:rsidRPr="00330D57" w:rsidRDefault="00DB66FC"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What does recentering of relative weights mean? Does this affect total payment?</w:t>
      </w:r>
    </w:p>
    <w:p w14:paraId="0E68E8E5" w14:textId="77777777" w:rsidR="00F6218B" w:rsidRPr="00330D57" w:rsidRDefault="00DA02B0"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Recentering refers to applying a multiplying factor that brings the average case mix of a given dataset to 1.00. This allows for easier year-to-year comparisons and mitigates base rate swings when there is a grouper update.</w:t>
      </w:r>
    </w:p>
    <w:p w14:paraId="05C13FFC" w14:textId="77777777" w:rsidR="00B5665A" w:rsidRPr="00330D57" w:rsidRDefault="00B5665A" w:rsidP="00110CA9">
      <w:pPr>
        <w:pStyle w:val="ListParagraph"/>
        <w:spacing w:after="120" w:line="240" w:lineRule="auto"/>
        <w:ind w:left="360"/>
        <w:rPr>
          <w:rFonts w:ascii="Franklin Gothic Book" w:hAnsi="Franklin Gothic Book" w:cs="Arial"/>
          <w:sz w:val="20"/>
        </w:rPr>
      </w:pPr>
    </w:p>
    <w:p w14:paraId="503FBBE4" w14:textId="75700DF5" w:rsidR="00DB66FC" w:rsidRPr="00FB47F3" w:rsidRDefault="00DA02B0" w:rsidP="001E1A99">
      <w:pPr>
        <w:pStyle w:val="ListParagraph"/>
        <w:spacing w:after="120" w:line="240" w:lineRule="auto"/>
        <w:ind w:left="360"/>
      </w:pPr>
      <w:r w:rsidRPr="00330D57">
        <w:rPr>
          <w:rFonts w:ascii="Franklin Gothic Book" w:hAnsi="Franklin Gothic Book" w:cs="Arial"/>
          <w:sz w:val="20"/>
        </w:rPr>
        <w:t xml:space="preserve">The average </w:t>
      </w:r>
      <w:proofErr w:type="spellStart"/>
      <w:r w:rsidR="001723CE">
        <w:rPr>
          <w:rFonts w:ascii="Franklin Gothic Book" w:hAnsi="Franklin Gothic Book" w:cs="Arial"/>
          <w:sz w:val="20"/>
        </w:rPr>
        <w:t>Solventum</w:t>
      </w:r>
      <w:proofErr w:type="spellEnd"/>
      <w:r w:rsidR="00F05B92"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V.</w:t>
      </w:r>
      <w:r w:rsidR="00756DDD">
        <w:rPr>
          <w:rFonts w:ascii="Franklin Gothic Book" w:hAnsi="Franklin Gothic Book" w:cs="Arial"/>
          <w:sz w:val="20"/>
        </w:rPr>
        <w:t>41</w:t>
      </w:r>
      <w:r w:rsidR="00756DDD" w:rsidRPr="00330D57">
        <w:rPr>
          <w:rFonts w:ascii="Franklin Gothic Book" w:hAnsi="Franklin Gothic Book" w:cs="Arial"/>
          <w:sz w:val="20"/>
        </w:rPr>
        <w:t xml:space="preserve"> </w:t>
      </w:r>
      <w:r w:rsidRPr="00330D57">
        <w:rPr>
          <w:rFonts w:ascii="Franklin Gothic Book" w:hAnsi="Franklin Gothic Book" w:cs="Arial"/>
          <w:sz w:val="20"/>
        </w:rPr>
        <w:t xml:space="preserve">case mix of the </w:t>
      </w:r>
      <w:r w:rsidR="00756DDD">
        <w:rPr>
          <w:rFonts w:ascii="Franklin Gothic Book" w:hAnsi="Franklin Gothic Book" w:cs="Arial"/>
          <w:sz w:val="20"/>
        </w:rPr>
        <w:t>SFY 2023</w:t>
      </w:r>
      <w:r w:rsidR="00FB47F3" w:rsidRPr="00330D57">
        <w:rPr>
          <w:rFonts w:ascii="Franklin Gothic Book" w:hAnsi="Franklin Gothic Book" w:cs="Arial"/>
          <w:sz w:val="20"/>
        </w:rPr>
        <w:t xml:space="preserve"> </w:t>
      </w:r>
      <w:r w:rsidR="00E74ADC" w:rsidRPr="00330D57">
        <w:rPr>
          <w:rFonts w:ascii="Franklin Gothic Book" w:hAnsi="Franklin Gothic Book" w:cs="Arial"/>
          <w:sz w:val="20"/>
        </w:rPr>
        <w:t xml:space="preserve">Idaho Medicaid </w:t>
      </w:r>
      <w:r w:rsidRPr="00330D57">
        <w:rPr>
          <w:rFonts w:ascii="Franklin Gothic Book" w:hAnsi="Franklin Gothic Book" w:cs="Arial"/>
          <w:sz w:val="20"/>
        </w:rPr>
        <w:t>dataset was 0.</w:t>
      </w:r>
      <w:r w:rsidR="00756DDD">
        <w:rPr>
          <w:rFonts w:ascii="Franklin Gothic Book" w:hAnsi="Franklin Gothic Book" w:cs="Arial"/>
          <w:sz w:val="20"/>
        </w:rPr>
        <w:t>8820</w:t>
      </w:r>
      <w:r w:rsidRPr="00330D57">
        <w:rPr>
          <w:rFonts w:ascii="Franklin Gothic Book" w:hAnsi="Franklin Gothic Book" w:cs="Arial"/>
          <w:sz w:val="20"/>
        </w:rPr>
        <w:t>. A recentering factor of 1.</w:t>
      </w:r>
      <w:r w:rsidR="00756DDD">
        <w:rPr>
          <w:rFonts w:ascii="Franklin Gothic Book" w:hAnsi="Franklin Gothic Book" w:cs="Arial"/>
          <w:sz w:val="20"/>
        </w:rPr>
        <w:t>1337</w:t>
      </w:r>
      <w:r w:rsidR="00756DDD" w:rsidRPr="00330D57">
        <w:rPr>
          <w:rFonts w:ascii="Franklin Gothic Book" w:hAnsi="Franklin Gothic Book" w:cs="Arial"/>
          <w:sz w:val="20"/>
        </w:rPr>
        <w:t xml:space="preserve"> </w:t>
      </w:r>
      <w:r w:rsidRPr="00330D57">
        <w:rPr>
          <w:rFonts w:ascii="Franklin Gothic Book" w:hAnsi="Franklin Gothic Book" w:cs="Arial"/>
          <w:sz w:val="20"/>
        </w:rPr>
        <w:t xml:space="preserve">is applied to the relative weight of every </w:t>
      </w:r>
      <w:proofErr w:type="spellStart"/>
      <w:r w:rsidR="001723CE">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to bring the average case mix to 1.00. There is no impact to payment because the factor </w:t>
      </w:r>
      <w:r w:rsidR="00257807" w:rsidRPr="00330D57">
        <w:rPr>
          <w:rFonts w:ascii="Franklin Gothic Book" w:hAnsi="Franklin Gothic Book" w:cs="Arial"/>
          <w:sz w:val="20"/>
        </w:rPr>
        <w:t>is applied equally to all claims. Without it, the base rate would have been raised by the same factor. Essentially, every claim would have the same payment with or without the recentering factor applied.</w:t>
      </w:r>
    </w:p>
    <w:p w14:paraId="25BC5F30" w14:textId="77777777" w:rsidR="00C7175C" w:rsidRPr="00330D57" w:rsidRDefault="00C7175C" w:rsidP="00110CA9">
      <w:pPr>
        <w:pStyle w:val="ListParagraph"/>
        <w:spacing w:after="120" w:line="240" w:lineRule="auto"/>
        <w:rPr>
          <w:rFonts w:ascii="Franklin Gothic Book" w:hAnsi="Franklin Gothic Book" w:cs="Arial"/>
          <w:sz w:val="20"/>
        </w:rPr>
      </w:pPr>
    </w:p>
    <w:p w14:paraId="3817E80E" w14:textId="77777777" w:rsidR="00C06908" w:rsidRPr="00330D57" w:rsidRDefault="00C06908"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What are policy adjustors, and how are they applied?</w:t>
      </w:r>
    </w:p>
    <w:p w14:paraId="6E7B0015" w14:textId="13BFB33A" w:rsidR="007E77D8" w:rsidRPr="00330D57" w:rsidRDefault="00257807"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Policy adjustors act as multipliers in payment calculations. </w:t>
      </w:r>
      <w:r w:rsidR="000B5007" w:rsidRPr="00330D57">
        <w:rPr>
          <w:rFonts w:ascii="Franklin Gothic Book" w:hAnsi="Franklin Gothic Book" w:cs="Arial"/>
          <w:sz w:val="20"/>
        </w:rPr>
        <w:t xml:space="preserve">They are used to increase or decrease calculated payments based on varying criteria. DHW will apply three types of policy adjustors to all claims: Service Category (based on </w:t>
      </w:r>
      <w:proofErr w:type="spellStart"/>
      <w:r w:rsidR="001723CE">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000B5007" w:rsidRPr="00330D57">
        <w:rPr>
          <w:rFonts w:ascii="Franklin Gothic Book" w:hAnsi="Franklin Gothic Book" w:cs="Arial"/>
          <w:sz w:val="20"/>
        </w:rPr>
        <w:t xml:space="preserve"> assignment), Age (based on patient age and </w:t>
      </w:r>
      <w:proofErr w:type="spellStart"/>
      <w:r w:rsidR="001723CE">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000B5007" w:rsidRPr="00330D57">
        <w:rPr>
          <w:rFonts w:ascii="Franklin Gothic Book" w:hAnsi="Franklin Gothic Book" w:cs="Arial"/>
          <w:sz w:val="20"/>
        </w:rPr>
        <w:t xml:space="preserve"> assignment), and Hospital (based on National Provider Identifier [NPI]). Payment calculations for all claims include all three policy adjustors. In some cases, the policy adjustor is set to 1.00 and does not affect payment.</w:t>
      </w:r>
    </w:p>
    <w:p w14:paraId="2578F456" w14:textId="375889C5" w:rsidR="006B347A" w:rsidRDefault="006B347A">
      <w:pPr>
        <w:rPr>
          <w:rFonts w:ascii="Franklin Gothic Book" w:hAnsi="Franklin Gothic Book" w:cs="Arial"/>
          <w:b/>
          <w:color w:val="38939B"/>
          <w:sz w:val="24"/>
        </w:rPr>
      </w:pPr>
    </w:p>
    <w:p w14:paraId="7FBF0682" w14:textId="60C94C17" w:rsidR="007E77D8" w:rsidRPr="00330D57" w:rsidRDefault="007E77D8"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lastRenderedPageBreak/>
        <w:t>How does the Service Category policy adjustor work?</w:t>
      </w:r>
    </w:p>
    <w:p w14:paraId="5E69A42F" w14:textId="74875CD3" w:rsidR="000B5007" w:rsidRPr="00330D57" w:rsidRDefault="000B5007" w:rsidP="40A4AE5F">
      <w:pPr>
        <w:pStyle w:val="ListParagraph"/>
        <w:spacing w:after="120" w:line="240" w:lineRule="auto"/>
        <w:ind w:left="360"/>
        <w:rPr>
          <w:rFonts w:ascii="Franklin Gothic Book" w:hAnsi="Franklin Gothic Book" w:cs="Arial"/>
          <w:sz w:val="20"/>
          <w:szCs w:val="20"/>
        </w:rPr>
      </w:pPr>
      <w:r w:rsidRPr="40A4AE5F">
        <w:rPr>
          <w:rFonts w:ascii="Franklin Gothic Book" w:hAnsi="Franklin Gothic Book" w:cs="Arial"/>
          <w:sz w:val="20"/>
          <w:szCs w:val="20"/>
        </w:rPr>
        <w:t xml:space="preserve">The Service Category policy adjustor is multiplied by the recentered </w:t>
      </w:r>
      <w:proofErr w:type="spellStart"/>
      <w:r w:rsidR="001723CE">
        <w:rPr>
          <w:rFonts w:ascii="Franklin Gothic Book" w:hAnsi="Franklin Gothic Book" w:cs="Arial"/>
          <w:sz w:val="20"/>
          <w:szCs w:val="20"/>
        </w:rPr>
        <w:t>Solventum</w:t>
      </w:r>
      <w:proofErr w:type="spellEnd"/>
      <w:r w:rsidR="00A0036E" w:rsidRPr="40A4AE5F">
        <w:rPr>
          <w:rFonts w:ascii="Franklin Gothic Book" w:hAnsi="Franklin Gothic Book" w:cs="Arial"/>
          <w:sz w:val="20"/>
          <w:szCs w:val="20"/>
        </w:rPr>
        <w:t xml:space="preserve"> </w:t>
      </w:r>
      <w:r w:rsidR="00423B12">
        <w:rPr>
          <w:rFonts w:ascii="Franklin Gothic Book" w:hAnsi="Franklin Gothic Book" w:cs="Arial"/>
          <w:sz w:val="20"/>
          <w:szCs w:val="20"/>
        </w:rPr>
        <w:t>APR DRG</w:t>
      </w:r>
      <w:r w:rsidRPr="40A4AE5F">
        <w:rPr>
          <w:rFonts w:ascii="Franklin Gothic Book" w:hAnsi="Franklin Gothic Book" w:cs="Arial"/>
          <w:sz w:val="20"/>
          <w:szCs w:val="20"/>
        </w:rPr>
        <w:t xml:space="preserve"> relative weight for each </w:t>
      </w:r>
      <w:proofErr w:type="spellStart"/>
      <w:r w:rsidR="001723CE">
        <w:rPr>
          <w:rFonts w:ascii="Franklin Gothic Book" w:hAnsi="Franklin Gothic Book" w:cs="Arial"/>
          <w:sz w:val="20"/>
          <w:szCs w:val="20"/>
        </w:rPr>
        <w:t>Solventum</w:t>
      </w:r>
      <w:proofErr w:type="spellEnd"/>
      <w:r w:rsidR="00A0036E" w:rsidRPr="40A4AE5F">
        <w:rPr>
          <w:rFonts w:ascii="Franklin Gothic Book" w:hAnsi="Franklin Gothic Book" w:cs="Arial"/>
          <w:sz w:val="20"/>
          <w:szCs w:val="20"/>
        </w:rPr>
        <w:t xml:space="preserve"> </w:t>
      </w:r>
      <w:r w:rsidR="00423B12">
        <w:rPr>
          <w:rFonts w:ascii="Franklin Gothic Book" w:hAnsi="Franklin Gothic Book" w:cs="Arial"/>
          <w:sz w:val="20"/>
          <w:szCs w:val="20"/>
        </w:rPr>
        <w:t>APR DRG</w:t>
      </w:r>
      <w:r w:rsidRPr="40A4AE5F">
        <w:rPr>
          <w:rFonts w:ascii="Franklin Gothic Book" w:hAnsi="Franklin Gothic Book" w:cs="Arial"/>
          <w:sz w:val="20"/>
          <w:szCs w:val="20"/>
        </w:rPr>
        <w:t xml:space="preserve">. This multiplied value is the relative weight that is loaded into the </w:t>
      </w:r>
      <w:r w:rsidR="3F2A9D8C" w:rsidRPr="40A4AE5F">
        <w:rPr>
          <w:rFonts w:ascii="Franklin Gothic Book" w:hAnsi="Franklin Gothic Book" w:cs="Arial"/>
          <w:sz w:val="20"/>
          <w:szCs w:val="20"/>
        </w:rPr>
        <w:t>Medicaid Enterprise System (MES)</w:t>
      </w:r>
      <w:r w:rsidRPr="40A4AE5F">
        <w:rPr>
          <w:rFonts w:ascii="Franklin Gothic Book" w:hAnsi="Franklin Gothic Book" w:cs="Arial"/>
          <w:sz w:val="20"/>
          <w:szCs w:val="20"/>
        </w:rPr>
        <w:t xml:space="preserve">. </w:t>
      </w:r>
      <w:r w:rsidR="00756DDD">
        <w:rPr>
          <w:rFonts w:ascii="Franklin Gothic Book" w:hAnsi="Franklin Gothic Book" w:cs="Arial"/>
          <w:sz w:val="20"/>
          <w:szCs w:val="20"/>
        </w:rPr>
        <w:t xml:space="preserve">All Service </w:t>
      </w:r>
      <w:r w:rsidR="000924A9">
        <w:rPr>
          <w:rFonts w:ascii="Franklin Gothic Book" w:hAnsi="Franklin Gothic Book" w:cs="Arial"/>
          <w:sz w:val="20"/>
          <w:szCs w:val="20"/>
        </w:rPr>
        <w:t>Category</w:t>
      </w:r>
      <w:r w:rsidR="00756DDD">
        <w:rPr>
          <w:rFonts w:ascii="Franklin Gothic Book" w:hAnsi="Franklin Gothic Book" w:cs="Arial"/>
          <w:sz w:val="20"/>
          <w:szCs w:val="20"/>
        </w:rPr>
        <w:t xml:space="preserve"> policy adjustors for SFY 2025 were set with a target payment-to-cost ratio of 90-100%</w:t>
      </w:r>
      <w:r w:rsidR="00FB47F3">
        <w:rPr>
          <w:rFonts w:ascii="Franklin Gothic Book" w:hAnsi="Franklin Gothic Book" w:cs="Arial"/>
          <w:sz w:val="20"/>
          <w:szCs w:val="20"/>
        </w:rPr>
        <w:t>.</w:t>
      </w:r>
      <w:r w:rsidR="000924A9">
        <w:rPr>
          <w:rFonts w:ascii="Franklin Gothic Book" w:hAnsi="Franklin Gothic Book" w:cs="Arial"/>
          <w:sz w:val="20"/>
          <w:szCs w:val="20"/>
        </w:rPr>
        <w:t xml:space="preserve"> </w:t>
      </w:r>
    </w:p>
    <w:p w14:paraId="68F2B144" w14:textId="77777777" w:rsidR="00E74ADC" w:rsidRPr="00330D57" w:rsidRDefault="00E74ADC" w:rsidP="00110CA9">
      <w:pPr>
        <w:pStyle w:val="ListParagraph"/>
        <w:spacing w:after="120" w:line="240" w:lineRule="auto"/>
        <w:ind w:left="360"/>
        <w:rPr>
          <w:rFonts w:ascii="Franklin Gothic Book" w:hAnsi="Franklin Gothic Book" w:cs="Arial"/>
          <w:sz w:val="20"/>
        </w:rPr>
      </w:pPr>
    </w:p>
    <w:p w14:paraId="15CC7BC3" w14:textId="3484FE31" w:rsidR="000B5007" w:rsidRPr="00330D57" w:rsidRDefault="00640DEA"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The</w:t>
      </w:r>
      <w:r w:rsidR="000B5007" w:rsidRPr="00330D57">
        <w:rPr>
          <w:rFonts w:ascii="Franklin Gothic Book" w:hAnsi="Franklin Gothic Book" w:cs="Arial"/>
          <w:sz w:val="20"/>
        </w:rPr>
        <w:t xml:space="preserve"> values </w:t>
      </w:r>
      <w:r w:rsidRPr="00330D57">
        <w:rPr>
          <w:rFonts w:ascii="Franklin Gothic Book" w:hAnsi="Franklin Gothic Book" w:cs="Arial"/>
          <w:sz w:val="20"/>
        </w:rPr>
        <w:t>for SFY 202</w:t>
      </w:r>
      <w:r w:rsidR="00CD5C62">
        <w:rPr>
          <w:rFonts w:ascii="Franklin Gothic Book" w:hAnsi="Franklin Gothic Book" w:cs="Arial"/>
          <w:sz w:val="20"/>
        </w:rPr>
        <w:t>5</w:t>
      </w:r>
      <w:r w:rsidRPr="00330D57">
        <w:rPr>
          <w:rFonts w:ascii="Franklin Gothic Book" w:hAnsi="Franklin Gothic Book" w:cs="Arial"/>
          <w:sz w:val="20"/>
        </w:rPr>
        <w:t xml:space="preserve"> </w:t>
      </w:r>
      <w:r w:rsidR="000B5007" w:rsidRPr="00330D57">
        <w:rPr>
          <w:rFonts w:ascii="Franklin Gothic Book" w:hAnsi="Franklin Gothic Book" w:cs="Arial"/>
          <w:sz w:val="20"/>
        </w:rPr>
        <w:t>are shown in the table below</w:t>
      </w:r>
      <w:r w:rsidR="007E77D8" w:rsidRPr="00330D57">
        <w:rPr>
          <w:rFonts w:ascii="Franklin Gothic Book" w:hAnsi="Franklin Gothic Book" w:cs="Arial"/>
          <w:sz w:val="20"/>
        </w:rPr>
        <w:t>:</w:t>
      </w:r>
    </w:p>
    <w:tbl>
      <w:tblPr>
        <w:tblW w:w="6600" w:type="dxa"/>
        <w:jc w:val="center"/>
        <w:tblCellMar>
          <w:top w:w="43" w:type="dxa"/>
          <w:left w:w="43" w:type="dxa"/>
          <w:bottom w:w="43" w:type="dxa"/>
          <w:right w:w="43" w:type="dxa"/>
        </w:tblCellMar>
        <w:tblLook w:val="04A0" w:firstRow="1" w:lastRow="0" w:firstColumn="1" w:lastColumn="0" w:noHBand="0" w:noVBand="1"/>
      </w:tblPr>
      <w:tblGrid>
        <w:gridCol w:w="2200"/>
        <w:gridCol w:w="2200"/>
        <w:gridCol w:w="2200"/>
      </w:tblGrid>
      <w:tr w:rsidR="00FB47F3" w:rsidRPr="000924A9" w14:paraId="0FADF673" w14:textId="77777777" w:rsidTr="000924A9">
        <w:trPr>
          <w:trHeight w:val="20"/>
          <w:jc w:val="center"/>
        </w:trPr>
        <w:tc>
          <w:tcPr>
            <w:tcW w:w="6600" w:type="dxa"/>
            <w:gridSpan w:val="3"/>
            <w:tcBorders>
              <w:top w:val="single" w:sz="4" w:space="0" w:color="auto"/>
              <w:left w:val="single" w:sz="4" w:space="0" w:color="auto"/>
              <w:bottom w:val="single" w:sz="4" w:space="0" w:color="auto"/>
              <w:right w:val="single" w:sz="4" w:space="0" w:color="000000"/>
            </w:tcBorders>
            <w:shd w:val="clear" w:color="000000" w:fill="9CC5CA"/>
          </w:tcPr>
          <w:p w14:paraId="60B4B5C3" w14:textId="317F9DBB" w:rsidR="00FB47F3" w:rsidRPr="000924A9" w:rsidRDefault="00FB47F3">
            <w:pPr>
              <w:spacing w:after="120" w:line="240" w:lineRule="auto"/>
              <w:jc w:val="center"/>
              <w:rPr>
                <w:rFonts w:ascii="Franklin Gothic Book" w:eastAsia="Times New Roman" w:hAnsi="Franklin Gothic Book" w:cs="Arial"/>
                <w:b/>
                <w:bCs/>
                <w:color w:val="000000"/>
                <w:sz w:val="18"/>
                <w:szCs w:val="18"/>
              </w:rPr>
            </w:pPr>
            <w:r w:rsidRPr="000924A9">
              <w:rPr>
                <w:rFonts w:ascii="Franklin Gothic Book" w:eastAsia="Times New Roman" w:hAnsi="Franklin Gothic Book" w:cs="Arial"/>
                <w:b/>
                <w:bCs/>
                <w:color w:val="000000"/>
                <w:sz w:val="18"/>
                <w:szCs w:val="18"/>
              </w:rPr>
              <w:t>Service Category Policy Adjustor Values</w:t>
            </w:r>
          </w:p>
        </w:tc>
      </w:tr>
      <w:tr w:rsidR="00756DDD" w:rsidRPr="000924A9" w14:paraId="0CADAC16" w14:textId="77777777" w:rsidTr="000924A9">
        <w:trPr>
          <w:trHeight w:val="20"/>
          <w:jc w:val="center"/>
        </w:trPr>
        <w:tc>
          <w:tcPr>
            <w:tcW w:w="2200" w:type="dxa"/>
            <w:tcBorders>
              <w:top w:val="nil"/>
              <w:left w:val="single" w:sz="4" w:space="0" w:color="auto"/>
              <w:bottom w:val="single" w:sz="4" w:space="0" w:color="auto"/>
              <w:right w:val="nil"/>
            </w:tcBorders>
            <w:shd w:val="clear" w:color="000000" w:fill="7AC142"/>
            <w:vAlign w:val="center"/>
            <w:hideMark/>
          </w:tcPr>
          <w:p w14:paraId="1FD44FE1" w14:textId="77777777" w:rsidR="00756DDD" w:rsidRPr="000924A9" w:rsidRDefault="00756DDD" w:rsidP="00756DDD">
            <w:pPr>
              <w:spacing w:after="120" w:line="240" w:lineRule="auto"/>
              <w:jc w:val="center"/>
              <w:rPr>
                <w:rFonts w:ascii="Franklin Gothic Book" w:eastAsia="Times New Roman" w:hAnsi="Franklin Gothic Book" w:cs="Arial"/>
                <w:b/>
                <w:bCs/>
                <w:color w:val="000000"/>
                <w:sz w:val="18"/>
                <w:szCs w:val="18"/>
              </w:rPr>
            </w:pPr>
            <w:r w:rsidRPr="000924A9">
              <w:rPr>
                <w:rFonts w:ascii="Franklin Gothic Book" w:eastAsia="Times New Roman" w:hAnsi="Franklin Gothic Book" w:cs="Arial"/>
                <w:b/>
                <w:bCs/>
                <w:color w:val="000000"/>
                <w:sz w:val="18"/>
                <w:szCs w:val="18"/>
              </w:rPr>
              <w:t>Service Category</w:t>
            </w:r>
          </w:p>
        </w:tc>
        <w:tc>
          <w:tcPr>
            <w:tcW w:w="2200" w:type="dxa"/>
            <w:tcBorders>
              <w:top w:val="nil"/>
              <w:left w:val="nil"/>
              <w:bottom w:val="single" w:sz="4" w:space="0" w:color="auto"/>
              <w:right w:val="nil"/>
            </w:tcBorders>
            <w:shd w:val="clear" w:color="000000" w:fill="7AC142"/>
            <w:vAlign w:val="center"/>
          </w:tcPr>
          <w:p w14:paraId="61CB970C" w14:textId="0800F953" w:rsidR="00756DDD" w:rsidRPr="000924A9" w:rsidRDefault="00756DDD">
            <w:pPr>
              <w:spacing w:after="120" w:line="240" w:lineRule="auto"/>
              <w:jc w:val="center"/>
              <w:rPr>
                <w:rFonts w:ascii="Franklin Gothic Book" w:eastAsia="Times New Roman" w:hAnsi="Franklin Gothic Book" w:cs="Arial"/>
                <w:b/>
                <w:bCs/>
                <w:color w:val="000000"/>
                <w:sz w:val="18"/>
                <w:szCs w:val="18"/>
              </w:rPr>
            </w:pPr>
            <w:r w:rsidRPr="000924A9">
              <w:rPr>
                <w:rFonts w:ascii="Franklin Gothic Book" w:eastAsia="Times New Roman" w:hAnsi="Franklin Gothic Book" w:cs="Arial"/>
                <w:b/>
                <w:bCs/>
                <w:color w:val="000000"/>
                <w:sz w:val="18"/>
                <w:szCs w:val="18"/>
              </w:rPr>
              <w:t>SFY 2024</w:t>
            </w:r>
          </w:p>
        </w:tc>
        <w:tc>
          <w:tcPr>
            <w:tcW w:w="2200" w:type="dxa"/>
            <w:tcBorders>
              <w:top w:val="nil"/>
              <w:left w:val="nil"/>
              <w:bottom w:val="single" w:sz="4" w:space="0" w:color="auto"/>
              <w:right w:val="single" w:sz="4" w:space="0" w:color="auto"/>
            </w:tcBorders>
            <w:shd w:val="clear" w:color="000000" w:fill="7AC142"/>
            <w:vAlign w:val="center"/>
            <w:hideMark/>
          </w:tcPr>
          <w:p w14:paraId="2F0923C3" w14:textId="2869A392" w:rsidR="00756DDD" w:rsidRPr="000924A9" w:rsidRDefault="00756DDD">
            <w:pPr>
              <w:spacing w:after="120" w:line="240" w:lineRule="auto"/>
              <w:jc w:val="center"/>
              <w:rPr>
                <w:rFonts w:ascii="Franklin Gothic Book" w:eastAsia="Times New Roman" w:hAnsi="Franklin Gothic Book" w:cs="Arial"/>
                <w:b/>
                <w:bCs/>
                <w:color w:val="000000"/>
                <w:sz w:val="18"/>
                <w:szCs w:val="18"/>
              </w:rPr>
            </w:pPr>
            <w:r w:rsidRPr="000924A9">
              <w:rPr>
                <w:rFonts w:ascii="Franklin Gothic Book" w:eastAsia="Times New Roman" w:hAnsi="Franklin Gothic Book" w:cs="Arial"/>
                <w:b/>
                <w:bCs/>
                <w:color w:val="000000"/>
                <w:sz w:val="18"/>
                <w:szCs w:val="18"/>
              </w:rPr>
              <w:t>SFY 2025</w:t>
            </w:r>
          </w:p>
        </w:tc>
      </w:tr>
      <w:tr w:rsidR="00756DDD" w:rsidRPr="000924A9" w14:paraId="26CC5C0F" w14:textId="77777777" w:rsidTr="00377257">
        <w:trPr>
          <w:trHeight w:val="2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DAF7CF7" w14:textId="77777777" w:rsidR="00756DDD" w:rsidRPr="000924A9" w:rsidRDefault="00756DDD" w:rsidP="00756DDD">
            <w:pPr>
              <w:spacing w:after="120" w:line="240" w:lineRule="auto"/>
              <w:rPr>
                <w:rFonts w:ascii="Franklin Gothic Book" w:eastAsia="Times New Roman" w:hAnsi="Franklin Gothic Book" w:cs="Arial"/>
                <w:color w:val="000000"/>
                <w:sz w:val="18"/>
                <w:szCs w:val="18"/>
              </w:rPr>
            </w:pPr>
            <w:r w:rsidRPr="000924A9">
              <w:rPr>
                <w:rFonts w:ascii="Franklin Gothic Book" w:eastAsia="Times New Roman" w:hAnsi="Franklin Gothic Book" w:cs="Arial"/>
                <w:color w:val="000000"/>
                <w:sz w:val="18"/>
                <w:szCs w:val="18"/>
              </w:rPr>
              <w:t>Transplant</w:t>
            </w:r>
          </w:p>
        </w:tc>
        <w:tc>
          <w:tcPr>
            <w:tcW w:w="2200" w:type="dxa"/>
            <w:tcBorders>
              <w:top w:val="nil"/>
              <w:left w:val="nil"/>
              <w:bottom w:val="single" w:sz="4" w:space="0" w:color="auto"/>
              <w:right w:val="single" w:sz="4" w:space="0" w:color="auto"/>
            </w:tcBorders>
            <w:vAlign w:val="bottom"/>
          </w:tcPr>
          <w:p w14:paraId="5C5F5333" w14:textId="4424EDEE" w:rsidR="00756DDD" w:rsidRPr="000924A9" w:rsidRDefault="000924A9" w:rsidP="00377257">
            <w:pPr>
              <w:spacing w:after="120" w:line="240" w:lineRule="auto"/>
              <w:jc w:val="right"/>
              <w:rPr>
                <w:rFonts w:ascii="Franklin Gothic Book" w:eastAsia="Times New Roman" w:hAnsi="Franklin Gothic Book" w:cs="Arial"/>
                <w:color w:val="000000"/>
                <w:sz w:val="18"/>
                <w:szCs w:val="18"/>
              </w:rPr>
            </w:pPr>
            <w:r w:rsidRPr="000924A9">
              <w:rPr>
                <w:rFonts w:ascii="Franklin Gothic Book" w:eastAsia="Times New Roman" w:hAnsi="Franklin Gothic Book" w:cs="Arial"/>
                <w:color w:val="000000"/>
                <w:sz w:val="18"/>
                <w:szCs w:val="18"/>
              </w:rPr>
              <w:t xml:space="preserve">  </w:t>
            </w: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0924A9">
              <w:rPr>
                <w:rFonts w:ascii="Franklin Gothic Book" w:eastAsia="Times New Roman" w:hAnsi="Franklin Gothic Book" w:cs="Arial"/>
                <w:color w:val="000000"/>
                <w:sz w:val="18"/>
                <w:szCs w:val="18"/>
              </w:rPr>
              <w:t xml:space="preserve">1.45 </w:t>
            </w:r>
          </w:p>
        </w:tc>
        <w:tc>
          <w:tcPr>
            <w:tcW w:w="2200" w:type="dxa"/>
            <w:tcBorders>
              <w:top w:val="nil"/>
              <w:left w:val="single" w:sz="4" w:space="0" w:color="auto"/>
              <w:bottom w:val="single" w:sz="4" w:space="0" w:color="auto"/>
              <w:right w:val="single" w:sz="4" w:space="0" w:color="auto"/>
            </w:tcBorders>
            <w:shd w:val="clear" w:color="auto" w:fill="auto"/>
            <w:vAlign w:val="bottom"/>
            <w:hideMark/>
          </w:tcPr>
          <w:p w14:paraId="5059F9AE" w14:textId="31BC0E10" w:rsidR="00756DDD" w:rsidRPr="00377257" w:rsidRDefault="000924A9" w:rsidP="00DE037C">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1.</w:t>
            </w:r>
            <w:r w:rsidR="00DE037C">
              <w:rPr>
                <w:rFonts w:ascii="Franklin Gothic Book" w:eastAsia="Times New Roman" w:hAnsi="Franklin Gothic Book" w:cs="Arial"/>
                <w:color w:val="000000"/>
                <w:sz w:val="18"/>
                <w:szCs w:val="18"/>
              </w:rPr>
              <w:t>37</w:t>
            </w:r>
            <w:r w:rsidR="00756DDD" w:rsidRPr="00377257">
              <w:rPr>
                <w:rFonts w:ascii="Franklin Gothic Book" w:eastAsia="Times New Roman" w:hAnsi="Franklin Gothic Book" w:cs="Arial"/>
                <w:color w:val="000000"/>
                <w:sz w:val="18"/>
                <w:szCs w:val="18"/>
              </w:rPr>
              <w:t xml:space="preserve"> </w:t>
            </w:r>
          </w:p>
        </w:tc>
      </w:tr>
      <w:tr w:rsidR="00756DDD" w:rsidRPr="000924A9" w14:paraId="29A33DA2" w14:textId="77777777" w:rsidTr="00377257">
        <w:trPr>
          <w:trHeight w:val="2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8F468BF" w14:textId="77777777" w:rsidR="00756DDD" w:rsidRPr="00377257" w:rsidRDefault="00756DDD" w:rsidP="00756DDD">
            <w:pPr>
              <w:spacing w:after="120" w:line="240" w:lineRule="auto"/>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Med/Surg</w:t>
            </w:r>
          </w:p>
        </w:tc>
        <w:tc>
          <w:tcPr>
            <w:tcW w:w="2200" w:type="dxa"/>
            <w:tcBorders>
              <w:top w:val="nil"/>
              <w:left w:val="nil"/>
              <w:bottom w:val="single" w:sz="4" w:space="0" w:color="auto"/>
              <w:right w:val="single" w:sz="4" w:space="0" w:color="auto"/>
            </w:tcBorders>
            <w:vAlign w:val="bottom"/>
          </w:tcPr>
          <w:p w14:paraId="504E9998" w14:textId="6128AAC2"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1.00 </w:t>
            </w:r>
          </w:p>
        </w:tc>
        <w:tc>
          <w:tcPr>
            <w:tcW w:w="2200" w:type="dxa"/>
            <w:tcBorders>
              <w:top w:val="nil"/>
              <w:left w:val="single" w:sz="4" w:space="0" w:color="auto"/>
              <w:bottom w:val="single" w:sz="4" w:space="0" w:color="auto"/>
              <w:right w:val="single" w:sz="4" w:space="0" w:color="auto"/>
            </w:tcBorders>
            <w:shd w:val="clear" w:color="auto" w:fill="auto"/>
            <w:vAlign w:val="bottom"/>
            <w:hideMark/>
          </w:tcPr>
          <w:p w14:paraId="23630AD4" w14:textId="734C555C"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1.00 </w:t>
            </w:r>
          </w:p>
        </w:tc>
      </w:tr>
      <w:tr w:rsidR="00756DDD" w:rsidRPr="000924A9" w14:paraId="5BB81F4F" w14:textId="77777777" w:rsidTr="00377257">
        <w:trPr>
          <w:trHeight w:val="2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68048CA" w14:textId="77777777" w:rsidR="00756DDD" w:rsidRPr="00377257" w:rsidRDefault="00756DDD" w:rsidP="00756DDD">
            <w:pPr>
              <w:spacing w:after="120" w:line="240" w:lineRule="auto"/>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Oncology</w:t>
            </w:r>
          </w:p>
        </w:tc>
        <w:tc>
          <w:tcPr>
            <w:tcW w:w="2200" w:type="dxa"/>
            <w:tcBorders>
              <w:top w:val="nil"/>
              <w:left w:val="nil"/>
              <w:bottom w:val="single" w:sz="4" w:space="0" w:color="auto"/>
              <w:right w:val="single" w:sz="4" w:space="0" w:color="auto"/>
            </w:tcBorders>
            <w:vAlign w:val="bottom"/>
          </w:tcPr>
          <w:p w14:paraId="00350539" w14:textId="186AA0BB"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1.35 </w:t>
            </w:r>
          </w:p>
        </w:tc>
        <w:tc>
          <w:tcPr>
            <w:tcW w:w="2200" w:type="dxa"/>
            <w:tcBorders>
              <w:top w:val="nil"/>
              <w:left w:val="single" w:sz="4" w:space="0" w:color="auto"/>
              <w:bottom w:val="single" w:sz="4" w:space="0" w:color="auto"/>
              <w:right w:val="single" w:sz="4" w:space="0" w:color="auto"/>
            </w:tcBorders>
            <w:shd w:val="clear" w:color="auto" w:fill="auto"/>
            <w:vAlign w:val="bottom"/>
            <w:hideMark/>
          </w:tcPr>
          <w:p w14:paraId="32755E87" w14:textId="3BCF0B0B" w:rsidR="00756DDD" w:rsidRPr="00377257" w:rsidRDefault="000924A9" w:rsidP="002D2741">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1.</w:t>
            </w:r>
            <w:r w:rsidR="002D2741">
              <w:rPr>
                <w:rFonts w:ascii="Franklin Gothic Book" w:eastAsia="Times New Roman" w:hAnsi="Franklin Gothic Book" w:cs="Arial"/>
                <w:color w:val="000000"/>
                <w:sz w:val="18"/>
                <w:szCs w:val="18"/>
              </w:rPr>
              <w:t>25</w:t>
            </w:r>
            <w:r w:rsidR="00756DDD" w:rsidRPr="00377257">
              <w:rPr>
                <w:rFonts w:ascii="Franklin Gothic Book" w:eastAsia="Times New Roman" w:hAnsi="Franklin Gothic Book" w:cs="Arial"/>
                <w:color w:val="000000"/>
                <w:sz w:val="18"/>
                <w:szCs w:val="18"/>
              </w:rPr>
              <w:t xml:space="preserve"> </w:t>
            </w:r>
          </w:p>
        </w:tc>
      </w:tr>
      <w:tr w:rsidR="00756DDD" w:rsidRPr="000924A9" w14:paraId="7159A765" w14:textId="77777777" w:rsidTr="00377257">
        <w:trPr>
          <w:trHeight w:val="2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195F15E" w14:textId="77777777" w:rsidR="00756DDD" w:rsidRPr="00377257" w:rsidRDefault="00756DDD" w:rsidP="00756DDD">
            <w:pPr>
              <w:spacing w:after="120" w:line="240" w:lineRule="auto"/>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Cardiovascular</w:t>
            </w:r>
          </w:p>
        </w:tc>
        <w:tc>
          <w:tcPr>
            <w:tcW w:w="2200" w:type="dxa"/>
            <w:tcBorders>
              <w:top w:val="nil"/>
              <w:left w:val="nil"/>
              <w:bottom w:val="single" w:sz="4" w:space="0" w:color="auto"/>
              <w:right w:val="single" w:sz="4" w:space="0" w:color="auto"/>
            </w:tcBorders>
            <w:vAlign w:val="bottom"/>
          </w:tcPr>
          <w:p w14:paraId="23654356" w14:textId="263CD605"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1.00 </w:t>
            </w:r>
          </w:p>
        </w:tc>
        <w:tc>
          <w:tcPr>
            <w:tcW w:w="2200" w:type="dxa"/>
            <w:tcBorders>
              <w:top w:val="nil"/>
              <w:left w:val="single" w:sz="4" w:space="0" w:color="auto"/>
              <w:bottom w:val="single" w:sz="4" w:space="0" w:color="auto"/>
              <w:right w:val="single" w:sz="4" w:space="0" w:color="auto"/>
            </w:tcBorders>
            <w:shd w:val="clear" w:color="auto" w:fill="auto"/>
            <w:vAlign w:val="bottom"/>
            <w:hideMark/>
          </w:tcPr>
          <w:p w14:paraId="30596A8E" w14:textId="4E346F6E"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1.00 </w:t>
            </w:r>
          </w:p>
        </w:tc>
      </w:tr>
      <w:tr w:rsidR="00756DDD" w:rsidRPr="000924A9" w14:paraId="12410F59" w14:textId="77777777" w:rsidTr="00377257">
        <w:trPr>
          <w:trHeight w:val="2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777B76B" w14:textId="77777777" w:rsidR="00756DDD" w:rsidRPr="00377257" w:rsidRDefault="00756DDD" w:rsidP="00756DDD">
            <w:pPr>
              <w:spacing w:after="120" w:line="240" w:lineRule="auto"/>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Obstetrics</w:t>
            </w:r>
          </w:p>
        </w:tc>
        <w:tc>
          <w:tcPr>
            <w:tcW w:w="2200" w:type="dxa"/>
            <w:tcBorders>
              <w:top w:val="nil"/>
              <w:left w:val="nil"/>
              <w:bottom w:val="single" w:sz="4" w:space="0" w:color="auto"/>
              <w:right w:val="single" w:sz="4" w:space="0" w:color="auto"/>
            </w:tcBorders>
            <w:vAlign w:val="bottom"/>
          </w:tcPr>
          <w:p w14:paraId="49FADE2E" w14:textId="2FCFD591"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1.35 </w:t>
            </w:r>
          </w:p>
        </w:tc>
        <w:tc>
          <w:tcPr>
            <w:tcW w:w="2200" w:type="dxa"/>
            <w:tcBorders>
              <w:top w:val="nil"/>
              <w:left w:val="single" w:sz="4" w:space="0" w:color="auto"/>
              <w:bottom w:val="single" w:sz="4" w:space="0" w:color="auto"/>
              <w:right w:val="single" w:sz="4" w:space="0" w:color="auto"/>
            </w:tcBorders>
            <w:shd w:val="clear" w:color="auto" w:fill="auto"/>
            <w:vAlign w:val="bottom"/>
            <w:hideMark/>
          </w:tcPr>
          <w:p w14:paraId="66C442BC" w14:textId="2C295368" w:rsidR="00756DDD" w:rsidRPr="00377257" w:rsidRDefault="000924A9" w:rsidP="002D2741">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1.</w:t>
            </w:r>
            <w:r w:rsidR="002D2741">
              <w:rPr>
                <w:rFonts w:ascii="Franklin Gothic Book" w:eastAsia="Times New Roman" w:hAnsi="Franklin Gothic Book" w:cs="Arial"/>
                <w:color w:val="000000"/>
                <w:sz w:val="18"/>
                <w:szCs w:val="18"/>
              </w:rPr>
              <w:t>25</w:t>
            </w:r>
            <w:r w:rsidR="00756DDD" w:rsidRPr="00377257">
              <w:rPr>
                <w:rFonts w:ascii="Franklin Gothic Book" w:eastAsia="Times New Roman" w:hAnsi="Franklin Gothic Book" w:cs="Arial"/>
                <w:color w:val="000000"/>
                <w:sz w:val="18"/>
                <w:szCs w:val="18"/>
              </w:rPr>
              <w:t xml:space="preserve"> </w:t>
            </w:r>
          </w:p>
        </w:tc>
      </w:tr>
      <w:tr w:rsidR="00756DDD" w:rsidRPr="000924A9" w14:paraId="57EA2D72" w14:textId="77777777" w:rsidTr="00377257">
        <w:trPr>
          <w:trHeight w:val="2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4F69622" w14:textId="77777777" w:rsidR="00756DDD" w:rsidRPr="00377257" w:rsidRDefault="00756DDD" w:rsidP="00756DDD">
            <w:pPr>
              <w:spacing w:after="120" w:line="240" w:lineRule="auto"/>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Normal newborn</w:t>
            </w:r>
          </w:p>
        </w:tc>
        <w:tc>
          <w:tcPr>
            <w:tcW w:w="2200" w:type="dxa"/>
            <w:tcBorders>
              <w:top w:val="nil"/>
              <w:left w:val="nil"/>
              <w:bottom w:val="single" w:sz="4" w:space="0" w:color="auto"/>
              <w:right w:val="single" w:sz="4" w:space="0" w:color="auto"/>
            </w:tcBorders>
            <w:vAlign w:val="bottom"/>
          </w:tcPr>
          <w:p w14:paraId="4BD9587B" w14:textId="48DC1D1F"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1.55 </w:t>
            </w:r>
          </w:p>
        </w:tc>
        <w:tc>
          <w:tcPr>
            <w:tcW w:w="2200" w:type="dxa"/>
            <w:tcBorders>
              <w:top w:val="nil"/>
              <w:left w:val="single" w:sz="4" w:space="0" w:color="auto"/>
              <w:bottom w:val="single" w:sz="4" w:space="0" w:color="auto"/>
              <w:right w:val="single" w:sz="4" w:space="0" w:color="auto"/>
            </w:tcBorders>
            <w:shd w:val="clear" w:color="auto" w:fill="auto"/>
            <w:vAlign w:val="bottom"/>
            <w:hideMark/>
          </w:tcPr>
          <w:p w14:paraId="62EA7728" w14:textId="13E228B7" w:rsidR="00756DDD" w:rsidRPr="00377257" w:rsidRDefault="000924A9" w:rsidP="002D2741">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1.</w:t>
            </w:r>
            <w:r w:rsidR="002D2741">
              <w:rPr>
                <w:rFonts w:ascii="Franklin Gothic Book" w:eastAsia="Times New Roman" w:hAnsi="Franklin Gothic Book" w:cs="Arial"/>
                <w:color w:val="000000"/>
                <w:sz w:val="18"/>
                <w:szCs w:val="18"/>
              </w:rPr>
              <w:t>61</w:t>
            </w:r>
          </w:p>
        </w:tc>
      </w:tr>
      <w:tr w:rsidR="00756DDD" w:rsidRPr="000924A9" w14:paraId="53EBDB04" w14:textId="77777777" w:rsidTr="00377257">
        <w:trPr>
          <w:trHeight w:val="2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DDE482D" w14:textId="77777777" w:rsidR="00756DDD" w:rsidRPr="00377257" w:rsidRDefault="00756DDD" w:rsidP="00756DDD">
            <w:pPr>
              <w:spacing w:after="120" w:line="240" w:lineRule="auto"/>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Neonate</w:t>
            </w:r>
          </w:p>
        </w:tc>
        <w:tc>
          <w:tcPr>
            <w:tcW w:w="2200" w:type="dxa"/>
            <w:tcBorders>
              <w:top w:val="nil"/>
              <w:left w:val="nil"/>
              <w:bottom w:val="single" w:sz="4" w:space="0" w:color="auto"/>
              <w:right w:val="single" w:sz="4" w:space="0" w:color="auto"/>
            </w:tcBorders>
            <w:vAlign w:val="bottom"/>
          </w:tcPr>
          <w:p w14:paraId="493BBEC7" w14:textId="19D95513"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1.00 </w:t>
            </w:r>
          </w:p>
        </w:tc>
        <w:tc>
          <w:tcPr>
            <w:tcW w:w="2200" w:type="dxa"/>
            <w:tcBorders>
              <w:top w:val="nil"/>
              <w:left w:val="single" w:sz="4" w:space="0" w:color="auto"/>
              <w:bottom w:val="single" w:sz="4" w:space="0" w:color="auto"/>
              <w:right w:val="single" w:sz="4" w:space="0" w:color="auto"/>
            </w:tcBorders>
            <w:shd w:val="clear" w:color="auto" w:fill="auto"/>
            <w:vAlign w:val="bottom"/>
            <w:hideMark/>
          </w:tcPr>
          <w:p w14:paraId="6383D76A" w14:textId="77A3B8B8" w:rsidR="00756DDD" w:rsidRPr="00377257" w:rsidRDefault="000924A9" w:rsidP="002D2741">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1.</w:t>
            </w:r>
            <w:r w:rsidR="002D2741">
              <w:rPr>
                <w:rFonts w:ascii="Franklin Gothic Book" w:eastAsia="Times New Roman" w:hAnsi="Franklin Gothic Book" w:cs="Arial"/>
                <w:color w:val="000000"/>
                <w:sz w:val="18"/>
                <w:szCs w:val="18"/>
              </w:rPr>
              <w:t>46</w:t>
            </w:r>
            <w:r w:rsidR="00756DDD" w:rsidRPr="00377257">
              <w:rPr>
                <w:rFonts w:ascii="Franklin Gothic Book" w:eastAsia="Times New Roman" w:hAnsi="Franklin Gothic Book" w:cs="Arial"/>
                <w:color w:val="000000"/>
                <w:sz w:val="18"/>
                <w:szCs w:val="18"/>
              </w:rPr>
              <w:t xml:space="preserve"> </w:t>
            </w:r>
          </w:p>
        </w:tc>
      </w:tr>
      <w:tr w:rsidR="00756DDD" w:rsidRPr="000924A9" w14:paraId="05FC5247" w14:textId="77777777" w:rsidTr="00377257">
        <w:trPr>
          <w:trHeight w:val="2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A3E1CAB" w14:textId="77777777" w:rsidR="00756DDD" w:rsidRPr="00377257" w:rsidRDefault="00756DDD" w:rsidP="00756DDD">
            <w:pPr>
              <w:spacing w:after="120" w:line="240" w:lineRule="auto"/>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MH/SA</w:t>
            </w:r>
          </w:p>
        </w:tc>
        <w:tc>
          <w:tcPr>
            <w:tcW w:w="2200" w:type="dxa"/>
            <w:tcBorders>
              <w:top w:val="nil"/>
              <w:left w:val="nil"/>
              <w:bottom w:val="single" w:sz="4" w:space="0" w:color="auto"/>
              <w:right w:val="single" w:sz="4" w:space="0" w:color="auto"/>
            </w:tcBorders>
            <w:vAlign w:val="bottom"/>
          </w:tcPr>
          <w:p w14:paraId="2CF50C44" w14:textId="24B61AEA"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1.60 </w:t>
            </w:r>
          </w:p>
        </w:tc>
        <w:tc>
          <w:tcPr>
            <w:tcW w:w="2200" w:type="dxa"/>
            <w:tcBorders>
              <w:top w:val="nil"/>
              <w:left w:val="single" w:sz="4" w:space="0" w:color="auto"/>
              <w:bottom w:val="single" w:sz="4" w:space="0" w:color="auto"/>
              <w:right w:val="single" w:sz="4" w:space="0" w:color="auto"/>
            </w:tcBorders>
            <w:shd w:val="clear" w:color="auto" w:fill="auto"/>
            <w:vAlign w:val="bottom"/>
            <w:hideMark/>
          </w:tcPr>
          <w:p w14:paraId="5BDE9B65" w14:textId="7618A063"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1.00 </w:t>
            </w:r>
          </w:p>
        </w:tc>
      </w:tr>
      <w:tr w:rsidR="00756DDD" w:rsidRPr="000924A9" w14:paraId="59092781" w14:textId="77777777" w:rsidTr="00377257">
        <w:trPr>
          <w:trHeight w:val="2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BED2670" w14:textId="77777777" w:rsidR="00756DDD" w:rsidRPr="00377257" w:rsidRDefault="00756DDD" w:rsidP="00756DDD">
            <w:pPr>
              <w:spacing w:after="120" w:line="240" w:lineRule="auto"/>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Rehab</w:t>
            </w:r>
          </w:p>
        </w:tc>
        <w:tc>
          <w:tcPr>
            <w:tcW w:w="2200" w:type="dxa"/>
            <w:tcBorders>
              <w:top w:val="nil"/>
              <w:left w:val="nil"/>
              <w:bottom w:val="single" w:sz="4" w:space="0" w:color="auto"/>
              <w:right w:val="single" w:sz="4" w:space="0" w:color="auto"/>
            </w:tcBorders>
            <w:vAlign w:val="bottom"/>
          </w:tcPr>
          <w:p w14:paraId="059E126F" w14:textId="35124659" w:rsidR="00756DDD" w:rsidRPr="00377257" w:rsidRDefault="000924A9" w:rsidP="00377257">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 xml:space="preserve">1.55 </w:t>
            </w:r>
          </w:p>
        </w:tc>
        <w:tc>
          <w:tcPr>
            <w:tcW w:w="2200" w:type="dxa"/>
            <w:tcBorders>
              <w:top w:val="nil"/>
              <w:left w:val="single" w:sz="4" w:space="0" w:color="auto"/>
              <w:bottom w:val="single" w:sz="4" w:space="0" w:color="auto"/>
              <w:right w:val="single" w:sz="4" w:space="0" w:color="auto"/>
            </w:tcBorders>
            <w:shd w:val="clear" w:color="auto" w:fill="auto"/>
            <w:vAlign w:val="bottom"/>
            <w:hideMark/>
          </w:tcPr>
          <w:p w14:paraId="13E87CD1" w14:textId="33A47531" w:rsidR="00756DDD" w:rsidRPr="00377257" w:rsidRDefault="000924A9" w:rsidP="002D2741">
            <w:pPr>
              <w:spacing w:after="120" w:line="240" w:lineRule="auto"/>
              <w:jc w:val="right"/>
              <w:rPr>
                <w:rFonts w:ascii="Franklin Gothic Book" w:eastAsia="Times New Roman" w:hAnsi="Franklin Gothic Book" w:cs="Arial"/>
                <w:color w:val="000000"/>
                <w:sz w:val="18"/>
                <w:szCs w:val="18"/>
              </w:rPr>
            </w:pPr>
            <w:r w:rsidRPr="00377257">
              <w:rPr>
                <w:rFonts w:ascii="Franklin Gothic Book" w:eastAsia="Times New Roman" w:hAnsi="Franklin Gothic Book" w:cs="Arial"/>
                <w:color w:val="000000"/>
                <w:sz w:val="18"/>
                <w:szCs w:val="18"/>
              </w:rPr>
              <w:t xml:space="preserve">                 </w:t>
            </w:r>
            <w:r>
              <w:rPr>
                <w:rFonts w:ascii="Franklin Gothic Book" w:eastAsia="Times New Roman" w:hAnsi="Franklin Gothic Book" w:cs="Arial"/>
                <w:color w:val="000000"/>
                <w:sz w:val="18"/>
                <w:szCs w:val="18"/>
              </w:rPr>
              <w:t xml:space="preserve"> </w:t>
            </w:r>
            <w:r w:rsidR="00756DDD" w:rsidRPr="00377257">
              <w:rPr>
                <w:rFonts w:ascii="Franklin Gothic Book" w:eastAsia="Times New Roman" w:hAnsi="Franklin Gothic Book" w:cs="Arial"/>
                <w:color w:val="000000"/>
                <w:sz w:val="18"/>
                <w:szCs w:val="18"/>
              </w:rPr>
              <w:t>1.</w:t>
            </w:r>
            <w:r w:rsidR="002D2741">
              <w:rPr>
                <w:rFonts w:ascii="Franklin Gothic Book" w:eastAsia="Times New Roman" w:hAnsi="Franklin Gothic Book" w:cs="Arial"/>
                <w:color w:val="000000"/>
                <w:sz w:val="18"/>
                <w:szCs w:val="18"/>
              </w:rPr>
              <w:t>64</w:t>
            </w:r>
            <w:r w:rsidR="00756DDD" w:rsidRPr="00377257">
              <w:rPr>
                <w:rFonts w:ascii="Franklin Gothic Book" w:eastAsia="Times New Roman" w:hAnsi="Franklin Gothic Book" w:cs="Arial"/>
                <w:color w:val="000000"/>
                <w:sz w:val="18"/>
                <w:szCs w:val="18"/>
              </w:rPr>
              <w:t xml:space="preserve"> </w:t>
            </w:r>
          </w:p>
        </w:tc>
      </w:tr>
    </w:tbl>
    <w:p w14:paraId="4F3D67F0" w14:textId="77777777" w:rsidR="007E77D8" w:rsidRPr="00330D57" w:rsidRDefault="007E77D8" w:rsidP="00110CA9">
      <w:pPr>
        <w:pStyle w:val="ListParagraph"/>
        <w:spacing w:after="120" w:line="240" w:lineRule="auto"/>
        <w:ind w:left="360"/>
        <w:rPr>
          <w:rFonts w:ascii="Franklin Gothic Book" w:hAnsi="Franklin Gothic Book" w:cs="Arial"/>
          <w:sz w:val="20"/>
        </w:rPr>
      </w:pPr>
    </w:p>
    <w:p w14:paraId="01C9477F" w14:textId="77777777" w:rsidR="007E77D8" w:rsidRPr="00330D57" w:rsidRDefault="007E77D8" w:rsidP="00110CA9">
      <w:pPr>
        <w:pStyle w:val="ListParagraph"/>
        <w:spacing w:after="120" w:line="240" w:lineRule="auto"/>
        <w:ind w:left="360"/>
        <w:rPr>
          <w:rFonts w:ascii="Franklin Gothic Book" w:hAnsi="Franklin Gothic Book" w:cs="Arial"/>
          <w:sz w:val="20"/>
        </w:rPr>
      </w:pPr>
    </w:p>
    <w:p w14:paraId="21C8766E" w14:textId="6E233981" w:rsidR="007E77D8" w:rsidRPr="00330D57" w:rsidRDefault="007E77D8"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The formula to calculate the </w:t>
      </w:r>
      <w:proofErr w:type="spellStart"/>
      <w:r w:rsidR="001723CE">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weight that is loaded into the MMIS is:</w:t>
      </w:r>
    </w:p>
    <w:p w14:paraId="227422A5" w14:textId="77777777" w:rsidR="007E77D8" w:rsidRPr="00330D57" w:rsidRDefault="007E77D8" w:rsidP="00110CA9">
      <w:pPr>
        <w:pStyle w:val="ListParagraph"/>
        <w:spacing w:after="120" w:line="240" w:lineRule="auto"/>
        <w:ind w:left="360"/>
        <w:jc w:val="center"/>
        <w:rPr>
          <w:rFonts w:ascii="Franklin Gothic Book" w:hAnsi="Franklin Gothic Book" w:cs="Arial"/>
          <w:b/>
          <w:i/>
          <w:color w:val="F8971D"/>
          <w:sz w:val="20"/>
        </w:rPr>
      </w:pPr>
    </w:p>
    <w:p w14:paraId="5C61E5C3" w14:textId="58620B30" w:rsidR="007E77D8" w:rsidRPr="00330D57" w:rsidRDefault="001723CE" w:rsidP="00110CA9">
      <w:pPr>
        <w:pStyle w:val="ListParagraph"/>
        <w:spacing w:after="120" w:line="240" w:lineRule="auto"/>
        <w:ind w:left="360"/>
        <w:jc w:val="center"/>
        <w:rPr>
          <w:rFonts w:ascii="Franklin Gothic Book" w:hAnsi="Franklin Gothic Book" w:cs="Arial"/>
          <w:b/>
          <w:i/>
          <w:color w:val="F8971D"/>
          <w:sz w:val="20"/>
        </w:rPr>
      </w:pPr>
      <w:proofErr w:type="spellStart"/>
      <w:r>
        <w:rPr>
          <w:rFonts w:ascii="Franklin Gothic Book" w:hAnsi="Franklin Gothic Book" w:cs="Arial"/>
          <w:b/>
          <w:i/>
          <w:color w:val="F8971D"/>
          <w:sz w:val="20"/>
        </w:rPr>
        <w:t>Solventum</w:t>
      </w:r>
      <w:proofErr w:type="spellEnd"/>
      <w:r w:rsidR="007E77D8" w:rsidRPr="00330D57">
        <w:rPr>
          <w:rFonts w:ascii="Franklin Gothic Book" w:hAnsi="Franklin Gothic Book" w:cs="Arial"/>
          <w:b/>
          <w:i/>
          <w:color w:val="F8971D"/>
          <w:sz w:val="20"/>
        </w:rPr>
        <w:t xml:space="preserve"> National </w:t>
      </w:r>
      <w:r w:rsidR="00E74ADC" w:rsidRPr="00330D57">
        <w:rPr>
          <w:rFonts w:ascii="Franklin Gothic Book" w:hAnsi="Franklin Gothic Book" w:cs="Arial"/>
          <w:b/>
          <w:i/>
          <w:color w:val="F8971D"/>
          <w:sz w:val="20"/>
        </w:rPr>
        <w:t xml:space="preserve">HSRV </w:t>
      </w:r>
      <w:r w:rsidR="007E77D8" w:rsidRPr="00330D57">
        <w:rPr>
          <w:rFonts w:ascii="Franklin Gothic Book" w:hAnsi="Franklin Gothic Book" w:cs="Arial"/>
          <w:b/>
          <w:i/>
          <w:color w:val="F8971D"/>
          <w:sz w:val="20"/>
        </w:rPr>
        <w:t xml:space="preserve">Relative Weight x Recentering Factor x </w:t>
      </w:r>
      <w:r w:rsidR="007D4141" w:rsidRPr="00330D57">
        <w:rPr>
          <w:rFonts w:ascii="Franklin Gothic Book" w:hAnsi="Franklin Gothic Book" w:cs="Arial"/>
          <w:b/>
          <w:i/>
          <w:color w:val="F8971D"/>
          <w:sz w:val="20"/>
        </w:rPr>
        <w:t xml:space="preserve">Service Category </w:t>
      </w:r>
      <w:r w:rsidR="007E77D8" w:rsidRPr="00330D57">
        <w:rPr>
          <w:rFonts w:ascii="Franklin Gothic Book" w:hAnsi="Franklin Gothic Book" w:cs="Arial"/>
          <w:b/>
          <w:i/>
          <w:color w:val="F8971D"/>
          <w:sz w:val="20"/>
        </w:rPr>
        <w:t>Policy Adjustor = Weight for Payment Calculation</w:t>
      </w:r>
    </w:p>
    <w:p w14:paraId="32B8512B" w14:textId="77777777" w:rsidR="007E77D8" w:rsidRPr="00330D57" w:rsidRDefault="007E77D8" w:rsidP="00110CA9">
      <w:pPr>
        <w:pStyle w:val="ListParagraph"/>
        <w:spacing w:after="120" w:line="240" w:lineRule="auto"/>
        <w:ind w:left="360"/>
        <w:rPr>
          <w:rFonts w:ascii="Franklin Gothic Book" w:hAnsi="Franklin Gothic Book" w:cs="Arial"/>
          <w:sz w:val="20"/>
        </w:rPr>
      </w:pPr>
    </w:p>
    <w:p w14:paraId="640EA49A" w14:textId="07109C85" w:rsidR="000B5007" w:rsidRPr="00330D57" w:rsidRDefault="007E77D8"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Examples of this formula</w:t>
      </w:r>
      <w:r w:rsidR="00E045E1" w:rsidRPr="00330D57">
        <w:rPr>
          <w:rFonts w:ascii="Franklin Gothic Book" w:hAnsi="Franklin Gothic Book" w:cs="Arial"/>
          <w:sz w:val="20"/>
        </w:rPr>
        <w:t xml:space="preserve"> below are</w:t>
      </w:r>
      <w:r w:rsidRPr="00330D57">
        <w:rPr>
          <w:rFonts w:ascii="Franklin Gothic Book" w:hAnsi="Franklin Gothic Book" w:cs="Arial"/>
          <w:sz w:val="20"/>
        </w:rPr>
        <w:t xml:space="preserve"> applied to </w:t>
      </w:r>
      <w:proofErr w:type="spellStart"/>
      <w:r w:rsidR="001723CE">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s 190-1 (ACUTE MYOCARDIAL INFARCTION; Cardiovascular Service Category) and 626-1 (NEONATE BIRTH WEIGHT 2000-2499 GRAMS, NORMAL NEWBORN OR NEONATE WITH OTHER PROBLEM, Normal newborn Service Category)</w:t>
      </w:r>
      <w:r w:rsidR="00E045E1" w:rsidRPr="00330D57">
        <w:rPr>
          <w:rFonts w:ascii="Franklin Gothic Book" w:hAnsi="Franklin Gothic Book" w:cs="Arial"/>
          <w:sz w:val="20"/>
        </w:rPr>
        <w:t>:</w:t>
      </w:r>
    </w:p>
    <w:p w14:paraId="20CD9AD0" w14:textId="07DA3F6B" w:rsidR="00E045E1" w:rsidRPr="00330D57" w:rsidRDefault="001723CE" w:rsidP="00110CA9">
      <w:pPr>
        <w:pStyle w:val="ListParagraph"/>
        <w:spacing w:after="120" w:line="240" w:lineRule="auto"/>
        <w:ind w:left="360"/>
        <w:jc w:val="center"/>
        <w:rPr>
          <w:rFonts w:ascii="Franklin Gothic Book" w:hAnsi="Franklin Gothic Book" w:cs="Arial"/>
          <w:b/>
          <w:i/>
          <w:color w:val="F8971D"/>
          <w:sz w:val="20"/>
        </w:rPr>
      </w:pPr>
      <w:proofErr w:type="spellStart"/>
      <w:r>
        <w:rPr>
          <w:rFonts w:ascii="Franklin Gothic Book" w:hAnsi="Franklin Gothic Book" w:cs="Arial"/>
          <w:b/>
          <w:i/>
          <w:color w:val="F8971D"/>
          <w:sz w:val="20"/>
        </w:rPr>
        <w:t>Solventum</w:t>
      </w:r>
      <w:proofErr w:type="spellEnd"/>
      <w:r w:rsidR="00A0036E" w:rsidRPr="00330D57">
        <w:rPr>
          <w:rFonts w:ascii="Franklin Gothic Book" w:hAnsi="Franklin Gothic Book" w:cs="Arial"/>
          <w:b/>
          <w:i/>
          <w:color w:val="F8971D"/>
          <w:sz w:val="20"/>
        </w:rPr>
        <w:t xml:space="preserve"> </w:t>
      </w:r>
      <w:r w:rsidR="00423B12">
        <w:rPr>
          <w:rFonts w:ascii="Franklin Gothic Book" w:hAnsi="Franklin Gothic Book" w:cs="Arial"/>
          <w:b/>
          <w:i/>
          <w:color w:val="F8971D"/>
          <w:sz w:val="20"/>
        </w:rPr>
        <w:t>APR DRG</w:t>
      </w:r>
      <w:r w:rsidR="00E045E1" w:rsidRPr="00330D57">
        <w:rPr>
          <w:rFonts w:ascii="Franklin Gothic Book" w:hAnsi="Franklin Gothic Book" w:cs="Arial"/>
          <w:b/>
          <w:i/>
          <w:color w:val="F8971D"/>
          <w:sz w:val="20"/>
        </w:rPr>
        <w:t xml:space="preserve"> 190-1:</w:t>
      </w:r>
      <w:r w:rsidR="000924A9">
        <w:rPr>
          <w:rFonts w:ascii="Franklin Gothic Book" w:hAnsi="Franklin Gothic Book" w:cs="Arial"/>
          <w:b/>
          <w:i/>
          <w:color w:val="F8971D"/>
          <w:sz w:val="20"/>
        </w:rPr>
        <w:t xml:space="preserve"> </w:t>
      </w:r>
      <w:r w:rsidR="00E045E1" w:rsidRPr="00330D57">
        <w:rPr>
          <w:rFonts w:ascii="Franklin Gothic Book" w:hAnsi="Franklin Gothic Book" w:cs="Arial"/>
          <w:b/>
          <w:i/>
          <w:color w:val="F8971D"/>
          <w:sz w:val="20"/>
        </w:rPr>
        <w:t>0.</w:t>
      </w:r>
      <w:r w:rsidR="00756DDD" w:rsidRPr="00330D57">
        <w:rPr>
          <w:rFonts w:ascii="Franklin Gothic Book" w:hAnsi="Franklin Gothic Book" w:cs="Arial"/>
          <w:b/>
          <w:i/>
          <w:color w:val="F8971D"/>
          <w:sz w:val="20"/>
        </w:rPr>
        <w:t>76</w:t>
      </w:r>
      <w:r w:rsidR="00756DDD">
        <w:rPr>
          <w:rFonts w:ascii="Franklin Gothic Book" w:hAnsi="Franklin Gothic Book" w:cs="Arial"/>
          <w:b/>
          <w:i/>
          <w:color w:val="F8971D"/>
          <w:sz w:val="20"/>
        </w:rPr>
        <w:t>17</w:t>
      </w:r>
      <w:r w:rsidR="00756DDD" w:rsidRPr="00330D57">
        <w:rPr>
          <w:rFonts w:ascii="Franklin Gothic Book" w:hAnsi="Franklin Gothic Book" w:cs="Arial"/>
          <w:b/>
          <w:i/>
          <w:color w:val="F8971D"/>
          <w:sz w:val="20"/>
        </w:rPr>
        <w:t xml:space="preserve"> </w:t>
      </w:r>
      <w:r w:rsidR="00E045E1" w:rsidRPr="00330D57">
        <w:rPr>
          <w:rFonts w:ascii="Franklin Gothic Book" w:hAnsi="Franklin Gothic Book" w:cs="Arial"/>
          <w:b/>
          <w:i/>
          <w:color w:val="F8971D"/>
          <w:sz w:val="20"/>
        </w:rPr>
        <w:t>x 1.</w:t>
      </w:r>
      <w:r w:rsidR="00756DDD">
        <w:rPr>
          <w:rFonts w:ascii="Franklin Gothic Book" w:hAnsi="Franklin Gothic Book" w:cs="Arial"/>
          <w:b/>
          <w:i/>
          <w:color w:val="F8971D"/>
          <w:sz w:val="20"/>
        </w:rPr>
        <w:t>1337</w:t>
      </w:r>
      <w:r w:rsidR="00756DDD" w:rsidRPr="00330D57">
        <w:rPr>
          <w:rFonts w:ascii="Franklin Gothic Book" w:hAnsi="Franklin Gothic Book" w:cs="Arial"/>
          <w:b/>
          <w:i/>
          <w:color w:val="F8971D"/>
          <w:sz w:val="20"/>
        </w:rPr>
        <w:t xml:space="preserve"> </w:t>
      </w:r>
      <w:r w:rsidR="00E045E1" w:rsidRPr="00330D57">
        <w:rPr>
          <w:rFonts w:ascii="Franklin Gothic Book" w:hAnsi="Franklin Gothic Book" w:cs="Arial"/>
          <w:b/>
          <w:i/>
          <w:color w:val="F8971D"/>
          <w:sz w:val="20"/>
        </w:rPr>
        <w:t xml:space="preserve">x 1.00 = </w:t>
      </w:r>
      <w:r w:rsidR="00FB47F3">
        <w:rPr>
          <w:rFonts w:ascii="Franklin Gothic Book" w:hAnsi="Franklin Gothic Book" w:cs="Arial"/>
          <w:b/>
          <w:i/>
          <w:color w:val="F8971D"/>
          <w:sz w:val="20"/>
        </w:rPr>
        <w:t>0.</w:t>
      </w:r>
      <w:r w:rsidR="00BC2CBD">
        <w:rPr>
          <w:rFonts w:ascii="Franklin Gothic Book" w:hAnsi="Franklin Gothic Book" w:cs="Arial"/>
          <w:b/>
          <w:i/>
          <w:color w:val="F8971D"/>
          <w:sz w:val="20"/>
        </w:rPr>
        <w:t>8635</w:t>
      </w:r>
    </w:p>
    <w:p w14:paraId="0AB8E280" w14:textId="5281F8C8" w:rsidR="00E045E1" w:rsidRPr="00330D57" w:rsidRDefault="001723CE" w:rsidP="00110CA9">
      <w:pPr>
        <w:pStyle w:val="ListParagraph"/>
        <w:spacing w:after="120" w:line="240" w:lineRule="auto"/>
        <w:ind w:left="360"/>
        <w:jc w:val="center"/>
        <w:rPr>
          <w:rFonts w:ascii="Franklin Gothic Book" w:hAnsi="Franklin Gothic Book" w:cs="Arial"/>
          <w:b/>
          <w:i/>
          <w:color w:val="F8971D"/>
          <w:sz w:val="20"/>
        </w:rPr>
      </w:pPr>
      <w:proofErr w:type="spellStart"/>
      <w:r>
        <w:rPr>
          <w:rFonts w:ascii="Franklin Gothic Book" w:hAnsi="Franklin Gothic Book" w:cs="Arial"/>
          <w:b/>
          <w:i/>
          <w:color w:val="F8971D"/>
          <w:sz w:val="20"/>
        </w:rPr>
        <w:t>Solventum</w:t>
      </w:r>
      <w:proofErr w:type="spellEnd"/>
      <w:r w:rsidR="00A0036E" w:rsidRPr="00330D57">
        <w:rPr>
          <w:rFonts w:ascii="Franklin Gothic Book" w:hAnsi="Franklin Gothic Book" w:cs="Arial"/>
          <w:b/>
          <w:i/>
          <w:color w:val="F8971D"/>
          <w:sz w:val="20"/>
        </w:rPr>
        <w:t xml:space="preserve"> </w:t>
      </w:r>
      <w:r w:rsidR="00423B12">
        <w:rPr>
          <w:rFonts w:ascii="Franklin Gothic Book" w:hAnsi="Franklin Gothic Book" w:cs="Arial"/>
          <w:b/>
          <w:i/>
          <w:color w:val="F8971D"/>
          <w:sz w:val="20"/>
        </w:rPr>
        <w:t>APR DRG</w:t>
      </w:r>
      <w:r w:rsidR="00E045E1" w:rsidRPr="00330D57">
        <w:rPr>
          <w:rFonts w:ascii="Franklin Gothic Book" w:hAnsi="Franklin Gothic Book" w:cs="Arial"/>
          <w:b/>
          <w:i/>
          <w:color w:val="F8971D"/>
          <w:sz w:val="20"/>
        </w:rPr>
        <w:t xml:space="preserve"> 626-1:</w:t>
      </w:r>
      <w:r w:rsidR="000924A9">
        <w:rPr>
          <w:rFonts w:ascii="Franklin Gothic Book" w:hAnsi="Franklin Gothic Book" w:cs="Arial"/>
          <w:b/>
          <w:i/>
          <w:color w:val="F8971D"/>
          <w:sz w:val="20"/>
        </w:rPr>
        <w:t xml:space="preserve"> </w:t>
      </w:r>
      <w:r w:rsidR="00E045E1" w:rsidRPr="00330D57">
        <w:rPr>
          <w:rFonts w:ascii="Franklin Gothic Book" w:hAnsi="Franklin Gothic Book" w:cs="Arial"/>
          <w:b/>
          <w:i/>
          <w:color w:val="F8971D"/>
          <w:sz w:val="20"/>
        </w:rPr>
        <w:t>0.</w:t>
      </w:r>
      <w:r w:rsidR="00BC2CBD">
        <w:rPr>
          <w:rFonts w:ascii="Franklin Gothic Book" w:hAnsi="Franklin Gothic Book" w:cs="Arial"/>
          <w:b/>
          <w:i/>
          <w:color w:val="F8971D"/>
          <w:sz w:val="20"/>
        </w:rPr>
        <w:t>1490</w:t>
      </w:r>
      <w:r w:rsidR="00BC2CBD" w:rsidRPr="00330D57">
        <w:rPr>
          <w:rFonts w:ascii="Franklin Gothic Book" w:hAnsi="Franklin Gothic Book" w:cs="Arial"/>
          <w:b/>
          <w:i/>
          <w:color w:val="F8971D"/>
          <w:sz w:val="20"/>
        </w:rPr>
        <w:t xml:space="preserve"> </w:t>
      </w:r>
      <w:r w:rsidR="00E045E1" w:rsidRPr="00330D57">
        <w:rPr>
          <w:rFonts w:ascii="Franklin Gothic Book" w:hAnsi="Franklin Gothic Book" w:cs="Arial"/>
          <w:b/>
          <w:i/>
          <w:color w:val="F8971D"/>
          <w:sz w:val="20"/>
        </w:rPr>
        <w:t>x 1.</w:t>
      </w:r>
      <w:r w:rsidR="00BC2CBD">
        <w:rPr>
          <w:rFonts w:ascii="Franklin Gothic Book" w:hAnsi="Franklin Gothic Book" w:cs="Arial"/>
          <w:b/>
          <w:i/>
          <w:color w:val="F8971D"/>
          <w:sz w:val="20"/>
        </w:rPr>
        <w:t>337</w:t>
      </w:r>
      <w:r w:rsidR="00BC2CBD" w:rsidRPr="00330D57">
        <w:rPr>
          <w:rFonts w:ascii="Franklin Gothic Book" w:hAnsi="Franklin Gothic Book" w:cs="Arial"/>
          <w:b/>
          <w:i/>
          <w:color w:val="F8971D"/>
          <w:sz w:val="20"/>
        </w:rPr>
        <w:t xml:space="preserve"> </w:t>
      </w:r>
      <w:r w:rsidR="00E045E1" w:rsidRPr="00330D57">
        <w:rPr>
          <w:rFonts w:ascii="Franklin Gothic Book" w:hAnsi="Franklin Gothic Book" w:cs="Arial"/>
          <w:b/>
          <w:i/>
          <w:color w:val="F8971D"/>
          <w:sz w:val="20"/>
        </w:rPr>
        <w:t>x 1.</w:t>
      </w:r>
      <w:r w:rsidR="00530D30">
        <w:rPr>
          <w:rFonts w:ascii="Franklin Gothic Book" w:hAnsi="Franklin Gothic Book" w:cs="Arial"/>
          <w:b/>
          <w:i/>
          <w:color w:val="F8971D"/>
          <w:sz w:val="20"/>
        </w:rPr>
        <w:t>61</w:t>
      </w:r>
      <w:r w:rsidR="00756DDD">
        <w:rPr>
          <w:rFonts w:ascii="Franklin Gothic Book" w:hAnsi="Franklin Gothic Book" w:cs="Arial"/>
          <w:b/>
          <w:i/>
          <w:color w:val="F8971D"/>
          <w:sz w:val="20"/>
        </w:rPr>
        <w:t xml:space="preserve"> </w:t>
      </w:r>
      <w:r w:rsidR="00E045E1" w:rsidRPr="00330D57">
        <w:rPr>
          <w:rFonts w:ascii="Franklin Gothic Book" w:hAnsi="Franklin Gothic Book" w:cs="Arial"/>
          <w:b/>
          <w:i/>
          <w:color w:val="F8971D"/>
          <w:sz w:val="20"/>
        </w:rPr>
        <w:t>= 0.</w:t>
      </w:r>
      <w:r w:rsidR="00530D30">
        <w:rPr>
          <w:rFonts w:ascii="Franklin Gothic Book" w:hAnsi="Franklin Gothic Book" w:cs="Arial"/>
          <w:b/>
          <w:i/>
          <w:color w:val="F8971D"/>
          <w:sz w:val="20"/>
        </w:rPr>
        <w:t>2720</w:t>
      </w:r>
    </w:p>
    <w:p w14:paraId="71D6002B" w14:textId="77777777" w:rsidR="00FE5E71" w:rsidRPr="00330D57" w:rsidRDefault="00FE5E71" w:rsidP="00110CA9">
      <w:pPr>
        <w:pStyle w:val="ListParagraph"/>
        <w:spacing w:after="120" w:line="240" w:lineRule="auto"/>
        <w:ind w:left="360"/>
        <w:jc w:val="center"/>
        <w:rPr>
          <w:rFonts w:ascii="Franklin Gothic Book" w:hAnsi="Franklin Gothic Book" w:cs="Arial"/>
          <w:b/>
          <w:i/>
          <w:color w:val="F8971D"/>
          <w:sz w:val="20"/>
        </w:rPr>
      </w:pPr>
    </w:p>
    <w:p w14:paraId="39D17040" w14:textId="77777777" w:rsidR="00C06908" w:rsidRPr="00330D57" w:rsidRDefault="00E045E1"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How does the </w:t>
      </w:r>
      <w:r w:rsidR="00FE5E71" w:rsidRPr="00330D57">
        <w:rPr>
          <w:rFonts w:ascii="Franklin Gothic Book" w:hAnsi="Franklin Gothic Book" w:cs="Arial"/>
          <w:b/>
          <w:color w:val="38939B"/>
          <w:sz w:val="24"/>
        </w:rPr>
        <w:t>Hospital</w:t>
      </w:r>
      <w:r w:rsidRPr="00330D57">
        <w:rPr>
          <w:rFonts w:ascii="Franklin Gothic Book" w:hAnsi="Franklin Gothic Book" w:cs="Arial"/>
          <w:b/>
          <w:color w:val="38939B"/>
          <w:sz w:val="24"/>
        </w:rPr>
        <w:t xml:space="preserve"> policy adjustor work?</w:t>
      </w:r>
    </w:p>
    <w:p w14:paraId="32CC2031" w14:textId="54B056D7" w:rsidR="00FE5E71" w:rsidRDefault="00FE5E71"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The </w:t>
      </w:r>
      <w:r w:rsidR="007D4141" w:rsidRPr="00330D57">
        <w:rPr>
          <w:rFonts w:ascii="Franklin Gothic Book" w:hAnsi="Franklin Gothic Book" w:cs="Arial"/>
          <w:sz w:val="20"/>
        </w:rPr>
        <w:t xml:space="preserve">hospital-type policy adjustor applies to rehabilitation and long-term acute care (LTAC) hospitals in Idaho. The transitional hospital adjustor is </w:t>
      </w:r>
      <w:r w:rsidR="00BC2CBD">
        <w:rPr>
          <w:rFonts w:ascii="Franklin Gothic Book" w:hAnsi="Franklin Gothic Book" w:cs="Arial"/>
          <w:sz w:val="20"/>
        </w:rPr>
        <w:t xml:space="preserve">discontinued. </w:t>
      </w:r>
    </w:p>
    <w:p w14:paraId="38B9FDC8" w14:textId="03A3DC59" w:rsidR="00657EE4" w:rsidRDefault="00657EE4" w:rsidP="00110CA9">
      <w:pPr>
        <w:pStyle w:val="ListParagraph"/>
        <w:spacing w:after="120" w:line="240" w:lineRule="auto"/>
        <w:ind w:left="360"/>
        <w:rPr>
          <w:rFonts w:ascii="Franklin Gothic Book" w:hAnsi="Franklin Gothic Book" w:cs="Arial"/>
          <w:sz w:val="20"/>
        </w:rPr>
      </w:pPr>
    </w:p>
    <w:p w14:paraId="5BFBC294" w14:textId="77777777" w:rsidR="00640DEA" w:rsidRPr="00330D57" w:rsidRDefault="00640DEA"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The formula to calculate the hospital base rate that is loaded into the MMIS is:</w:t>
      </w:r>
    </w:p>
    <w:p w14:paraId="64648C3E" w14:textId="77777777" w:rsidR="00640DEA" w:rsidRPr="00330D57" w:rsidRDefault="00640DEA" w:rsidP="00110CA9">
      <w:pPr>
        <w:pStyle w:val="ListParagraph"/>
        <w:spacing w:after="120" w:line="240" w:lineRule="auto"/>
        <w:ind w:left="360"/>
        <w:jc w:val="center"/>
        <w:rPr>
          <w:rFonts w:ascii="Franklin Gothic Book" w:hAnsi="Franklin Gothic Book" w:cs="Arial"/>
          <w:sz w:val="20"/>
        </w:rPr>
      </w:pPr>
    </w:p>
    <w:p w14:paraId="0065169F" w14:textId="77777777" w:rsidR="00640DEA" w:rsidRPr="00330D57" w:rsidRDefault="00640DEA" w:rsidP="00110CA9">
      <w:pPr>
        <w:pStyle w:val="ListParagraph"/>
        <w:spacing w:after="120" w:line="240" w:lineRule="auto"/>
        <w:ind w:left="360"/>
        <w:jc w:val="center"/>
        <w:rPr>
          <w:rFonts w:ascii="Franklin Gothic Book" w:hAnsi="Franklin Gothic Book" w:cs="Arial"/>
          <w:b/>
          <w:i/>
          <w:color w:val="F8971D"/>
          <w:sz w:val="20"/>
        </w:rPr>
      </w:pPr>
      <w:r w:rsidRPr="00330D57">
        <w:rPr>
          <w:rFonts w:ascii="Franklin Gothic Book" w:hAnsi="Franklin Gothic Book" w:cs="Arial"/>
          <w:b/>
          <w:i/>
          <w:color w:val="F8971D"/>
          <w:sz w:val="20"/>
        </w:rPr>
        <w:t>Idaho/OOS Base Rate x Hospital Policy Adjustor = Adjusted Base Rate for Payment Calculation</w:t>
      </w:r>
    </w:p>
    <w:p w14:paraId="41217B0C" w14:textId="77777777" w:rsidR="00640DEA" w:rsidRPr="00330D57" w:rsidRDefault="00640DEA" w:rsidP="00110CA9">
      <w:pPr>
        <w:pStyle w:val="ListParagraph"/>
        <w:spacing w:after="120" w:line="240" w:lineRule="auto"/>
        <w:ind w:left="360"/>
        <w:rPr>
          <w:rFonts w:ascii="Franklin Gothic Book" w:hAnsi="Franklin Gothic Book" w:cs="Arial"/>
          <w:sz w:val="20"/>
        </w:rPr>
      </w:pPr>
    </w:p>
    <w:p w14:paraId="14CC4C6A" w14:textId="77777777" w:rsidR="000F1E12" w:rsidRDefault="000F1E12">
      <w:pPr>
        <w:rPr>
          <w:rFonts w:ascii="Franklin Gothic Book" w:hAnsi="Franklin Gothic Book" w:cs="Arial"/>
          <w:sz w:val="20"/>
        </w:rPr>
      </w:pPr>
      <w:r>
        <w:rPr>
          <w:rFonts w:ascii="Franklin Gothic Book" w:hAnsi="Franklin Gothic Book" w:cs="Arial"/>
          <w:sz w:val="20"/>
        </w:rPr>
        <w:br w:type="page"/>
      </w:r>
    </w:p>
    <w:p w14:paraId="3C7A586C" w14:textId="13707CD9" w:rsidR="00640DEA" w:rsidRDefault="00640DEA"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lastRenderedPageBreak/>
        <w:t xml:space="preserve">The </w:t>
      </w:r>
      <w:r w:rsidR="00656B50">
        <w:rPr>
          <w:rFonts w:ascii="Franklin Gothic Book" w:hAnsi="Franklin Gothic Book" w:cs="Arial"/>
          <w:sz w:val="20"/>
        </w:rPr>
        <w:t xml:space="preserve">hospital </w:t>
      </w:r>
      <w:r w:rsidRPr="00330D57">
        <w:rPr>
          <w:rFonts w:ascii="Franklin Gothic Book" w:hAnsi="Franklin Gothic Book" w:cs="Arial"/>
          <w:sz w:val="20"/>
        </w:rPr>
        <w:t xml:space="preserve">values for SFY </w:t>
      </w:r>
      <w:r w:rsidR="00BC2CBD" w:rsidRPr="00330D57">
        <w:rPr>
          <w:rFonts w:ascii="Franklin Gothic Book" w:hAnsi="Franklin Gothic Book" w:cs="Arial"/>
          <w:sz w:val="20"/>
        </w:rPr>
        <w:t>202</w:t>
      </w:r>
      <w:r w:rsidR="00BC2CBD">
        <w:rPr>
          <w:rFonts w:ascii="Franklin Gothic Book" w:hAnsi="Franklin Gothic Book" w:cs="Arial"/>
          <w:sz w:val="20"/>
        </w:rPr>
        <w:t>5</w:t>
      </w:r>
      <w:r w:rsidR="00BC2CBD" w:rsidRPr="00330D57">
        <w:rPr>
          <w:rFonts w:ascii="Franklin Gothic Book" w:hAnsi="Franklin Gothic Book" w:cs="Arial"/>
          <w:sz w:val="20"/>
        </w:rPr>
        <w:t xml:space="preserve"> </w:t>
      </w:r>
      <w:r w:rsidRPr="00330D57">
        <w:rPr>
          <w:rFonts w:ascii="Franklin Gothic Book" w:hAnsi="Franklin Gothic Book" w:cs="Arial"/>
          <w:sz w:val="20"/>
        </w:rPr>
        <w:t>are shown below:</w:t>
      </w:r>
    </w:p>
    <w:tbl>
      <w:tblPr>
        <w:tblW w:w="9715" w:type="dxa"/>
        <w:tblLayout w:type="fixed"/>
        <w:tblLook w:val="04A0" w:firstRow="1" w:lastRow="0" w:firstColumn="1" w:lastColumn="0" w:noHBand="0" w:noVBand="1"/>
      </w:tblPr>
      <w:tblGrid>
        <w:gridCol w:w="1005"/>
        <w:gridCol w:w="3000"/>
        <w:gridCol w:w="1660"/>
        <w:gridCol w:w="925"/>
        <w:gridCol w:w="1540"/>
        <w:gridCol w:w="1585"/>
      </w:tblGrid>
      <w:tr w:rsidR="00BF0E17" w:rsidRPr="00377257" w14:paraId="0175F012" w14:textId="77777777" w:rsidTr="00377257">
        <w:trPr>
          <w:trHeight w:val="288"/>
        </w:trPr>
        <w:tc>
          <w:tcPr>
            <w:tcW w:w="9715" w:type="dxa"/>
            <w:gridSpan w:val="6"/>
            <w:tcBorders>
              <w:top w:val="single" w:sz="4" w:space="0" w:color="auto"/>
              <w:left w:val="single" w:sz="4" w:space="0" w:color="auto"/>
              <w:bottom w:val="single" w:sz="4" w:space="0" w:color="auto"/>
              <w:right w:val="single" w:sz="4" w:space="0" w:color="000000"/>
            </w:tcBorders>
            <w:shd w:val="clear" w:color="000000" w:fill="9CC5CA"/>
            <w:noWrap/>
            <w:vAlign w:val="bottom"/>
            <w:hideMark/>
          </w:tcPr>
          <w:p w14:paraId="4728C0B6" w14:textId="77777777" w:rsidR="00BF0E17" w:rsidRPr="00377257" w:rsidRDefault="00BF0E17" w:rsidP="00BF0E17">
            <w:pPr>
              <w:spacing w:after="0" w:line="240" w:lineRule="auto"/>
              <w:jc w:val="center"/>
              <w:rPr>
                <w:rFonts w:ascii="Franklin Gothic Book" w:eastAsia="Times New Roman" w:hAnsi="Franklin Gothic Book" w:cs="Arial"/>
                <w:b/>
                <w:bCs/>
                <w:color w:val="000000"/>
                <w:sz w:val="18"/>
                <w:szCs w:val="16"/>
              </w:rPr>
            </w:pPr>
            <w:r w:rsidRPr="00377257">
              <w:rPr>
                <w:rFonts w:ascii="Franklin Gothic Book" w:eastAsia="Times New Roman" w:hAnsi="Franklin Gothic Book" w:cs="Arial"/>
                <w:b/>
                <w:bCs/>
                <w:color w:val="000000"/>
                <w:sz w:val="18"/>
                <w:szCs w:val="16"/>
              </w:rPr>
              <w:t>Hospital DRG Base Rates for SFY 2025</w:t>
            </w:r>
          </w:p>
        </w:tc>
      </w:tr>
      <w:tr w:rsidR="00BF0E17" w:rsidRPr="00377257" w14:paraId="58C5FD6A" w14:textId="77777777" w:rsidTr="00377257">
        <w:trPr>
          <w:trHeight w:val="528"/>
        </w:trPr>
        <w:tc>
          <w:tcPr>
            <w:tcW w:w="1005" w:type="dxa"/>
            <w:tcBorders>
              <w:top w:val="nil"/>
              <w:left w:val="single" w:sz="4" w:space="0" w:color="auto"/>
              <w:bottom w:val="single" w:sz="4" w:space="0" w:color="auto"/>
              <w:right w:val="nil"/>
            </w:tcBorders>
            <w:shd w:val="clear" w:color="000000" w:fill="7AC142"/>
            <w:vAlign w:val="center"/>
            <w:hideMark/>
          </w:tcPr>
          <w:p w14:paraId="24878FDF" w14:textId="77777777" w:rsidR="00BF0E17" w:rsidRPr="00377257" w:rsidRDefault="00BF0E17" w:rsidP="00BF0E17">
            <w:pPr>
              <w:spacing w:after="0" w:line="240" w:lineRule="auto"/>
              <w:jc w:val="center"/>
              <w:rPr>
                <w:rFonts w:ascii="Franklin Gothic Book" w:eastAsia="Times New Roman" w:hAnsi="Franklin Gothic Book" w:cs="Arial"/>
                <w:b/>
                <w:bCs/>
                <w:color w:val="000000"/>
                <w:sz w:val="18"/>
                <w:szCs w:val="16"/>
              </w:rPr>
            </w:pPr>
            <w:r w:rsidRPr="00377257">
              <w:rPr>
                <w:rFonts w:ascii="Franklin Gothic Book" w:eastAsia="Times New Roman" w:hAnsi="Franklin Gothic Book" w:cs="Arial"/>
                <w:b/>
                <w:bCs/>
                <w:color w:val="000000"/>
                <w:sz w:val="18"/>
                <w:szCs w:val="16"/>
              </w:rPr>
              <w:t>Hospital Name</w:t>
            </w:r>
          </w:p>
        </w:tc>
        <w:tc>
          <w:tcPr>
            <w:tcW w:w="3000" w:type="dxa"/>
            <w:tcBorders>
              <w:top w:val="nil"/>
              <w:left w:val="nil"/>
              <w:bottom w:val="single" w:sz="4" w:space="0" w:color="auto"/>
              <w:right w:val="nil"/>
            </w:tcBorders>
            <w:shd w:val="clear" w:color="000000" w:fill="7AC142"/>
            <w:vAlign w:val="center"/>
            <w:hideMark/>
          </w:tcPr>
          <w:p w14:paraId="7FA733BA" w14:textId="77777777" w:rsidR="00BF0E17" w:rsidRPr="00377257" w:rsidRDefault="00BF0E17" w:rsidP="00BF0E17">
            <w:pPr>
              <w:spacing w:after="0" w:line="240" w:lineRule="auto"/>
              <w:jc w:val="center"/>
              <w:rPr>
                <w:rFonts w:ascii="Franklin Gothic Book" w:eastAsia="Times New Roman" w:hAnsi="Franklin Gothic Book" w:cs="Arial"/>
                <w:b/>
                <w:bCs/>
                <w:color w:val="000000"/>
                <w:sz w:val="18"/>
                <w:szCs w:val="16"/>
              </w:rPr>
            </w:pPr>
            <w:r w:rsidRPr="00377257">
              <w:rPr>
                <w:rFonts w:ascii="Franklin Gothic Book" w:eastAsia="Times New Roman" w:hAnsi="Franklin Gothic Book" w:cs="Arial"/>
                <w:b/>
                <w:bCs/>
                <w:color w:val="000000"/>
                <w:sz w:val="18"/>
                <w:szCs w:val="16"/>
              </w:rPr>
              <w:t>Medicare ID</w:t>
            </w:r>
          </w:p>
        </w:tc>
        <w:tc>
          <w:tcPr>
            <w:tcW w:w="1660" w:type="dxa"/>
            <w:tcBorders>
              <w:top w:val="nil"/>
              <w:left w:val="nil"/>
              <w:bottom w:val="single" w:sz="4" w:space="0" w:color="auto"/>
              <w:right w:val="nil"/>
            </w:tcBorders>
            <w:shd w:val="clear" w:color="000000" w:fill="7AC142"/>
            <w:vAlign w:val="center"/>
            <w:hideMark/>
          </w:tcPr>
          <w:p w14:paraId="4C786A7B" w14:textId="77777777" w:rsidR="00BF0E17" w:rsidRPr="00377257" w:rsidRDefault="00BF0E17" w:rsidP="00BF0E17">
            <w:pPr>
              <w:spacing w:after="0" w:line="240" w:lineRule="auto"/>
              <w:jc w:val="center"/>
              <w:rPr>
                <w:rFonts w:ascii="Franklin Gothic Book" w:eastAsia="Times New Roman" w:hAnsi="Franklin Gothic Book" w:cs="Arial"/>
                <w:b/>
                <w:bCs/>
                <w:color w:val="000000"/>
                <w:sz w:val="18"/>
                <w:szCs w:val="16"/>
              </w:rPr>
            </w:pPr>
            <w:r w:rsidRPr="00377257">
              <w:rPr>
                <w:rFonts w:ascii="Franklin Gothic Book" w:eastAsia="Times New Roman" w:hAnsi="Franklin Gothic Book" w:cs="Arial"/>
                <w:b/>
                <w:bCs/>
                <w:color w:val="000000"/>
                <w:sz w:val="18"/>
                <w:szCs w:val="16"/>
              </w:rPr>
              <w:t>Statewide / OOS Base Rate</w:t>
            </w:r>
          </w:p>
        </w:tc>
        <w:tc>
          <w:tcPr>
            <w:tcW w:w="925" w:type="dxa"/>
            <w:tcBorders>
              <w:top w:val="nil"/>
              <w:left w:val="nil"/>
              <w:bottom w:val="single" w:sz="4" w:space="0" w:color="auto"/>
              <w:right w:val="nil"/>
            </w:tcBorders>
            <w:shd w:val="clear" w:color="000000" w:fill="7AC142"/>
            <w:vAlign w:val="center"/>
            <w:hideMark/>
          </w:tcPr>
          <w:p w14:paraId="4299D550" w14:textId="6974888B" w:rsidR="00BF0E17" w:rsidRPr="00377257" w:rsidRDefault="00BF0E17">
            <w:pPr>
              <w:spacing w:after="0" w:line="240" w:lineRule="auto"/>
              <w:jc w:val="center"/>
              <w:rPr>
                <w:rFonts w:ascii="Franklin Gothic Book" w:eastAsia="Times New Roman" w:hAnsi="Franklin Gothic Book" w:cs="Arial"/>
                <w:b/>
                <w:bCs/>
                <w:color w:val="000000"/>
                <w:sz w:val="18"/>
                <w:szCs w:val="16"/>
              </w:rPr>
            </w:pPr>
            <w:r w:rsidRPr="00377257">
              <w:rPr>
                <w:rFonts w:ascii="Franklin Gothic Book" w:eastAsia="Times New Roman" w:hAnsi="Franklin Gothic Book" w:cs="Arial"/>
                <w:b/>
                <w:bCs/>
                <w:color w:val="000000"/>
                <w:sz w:val="18"/>
                <w:szCs w:val="16"/>
              </w:rPr>
              <w:t>Hosp. Type</w:t>
            </w:r>
          </w:p>
        </w:tc>
        <w:tc>
          <w:tcPr>
            <w:tcW w:w="1540" w:type="dxa"/>
            <w:tcBorders>
              <w:top w:val="nil"/>
              <w:left w:val="nil"/>
              <w:bottom w:val="single" w:sz="4" w:space="0" w:color="auto"/>
              <w:right w:val="nil"/>
            </w:tcBorders>
            <w:shd w:val="clear" w:color="000000" w:fill="7AC142"/>
            <w:vAlign w:val="center"/>
            <w:hideMark/>
          </w:tcPr>
          <w:p w14:paraId="229935BB" w14:textId="77777777" w:rsidR="00BF0E17" w:rsidRPr="00377257" w:rsidRDefault="00BF0E17" w:rsidP="00BF0E17">
            <w:pPr>
              <w:spacing w:after="0" w:line="240" w:lineRule="auto"/>
              <w:jc w:val="center"/>
              <w:rPr>
                <w:rFonts w:ascii="Franklin Gothic Book" w:eastAsia="Times New Roman" w:hAnsi="Franklin Gothic Book" w:cs="Arial"/>
                <w:b/>
                <w:bCs/>
                <w:color w:val="000000"/>
                <w:sz w:val="18"/>
                <w:szCs w:val="16"/>
              </w:rPr>
            </w:pPr>
            <w:r w:rsidRPr="00377257">
              <w:rPr>
                <w:rFonts w:ascii="Franklin Gothic Book" w:eastAsia="Times New Roman" w:hAnsi="Franklin Gothic Book" w:cs="Arial"/>
                <w:b/>
                <w:bCs/>
                <w:color w:val="000000"/>
                <w:sz w:val="18"/>
                <w:szCs w:val="16"/>
              </w:rPr>
              <w:t>Hospital-Type Policy Adjustor</w:t>
            </w:r>
          </w:p>
        </w:tc>
        <w:tc>
          <w:tcPr>
            <w:tcW w:w="1585" w:type="dxa"/>
            <w:tcBorders>
              <w:top w:val="nil"/>
              <w:left w:val="nil"/>
              <w:bottom w:val="single" w:sz="4" w:space="0" w:color="auto"/>
              <w:right w:val="single" w:sz="4" w:space="0" w:color="auto"/>
            </w:tcBorders>
            <w:shd w:val="clear" w:color="000000" w:fill="7AC142"/>
            <w:vAlign w:val="center"/>
            <w:hideMark/>
          </w:tcPr>
          <w:p w14:paraId="6AAF0E57" w14:textId="77777777" w:rsidR="00BF0E17" w:rsidRPr="00377257" w:rsidRDefault="00BF0E17" w:rsidP="00BF0E17">
            <w:pPr>
              <w:spacing w:after="0" w:line="240" w:lineRule="auto"/>
              <w:jc w:val="center"/>
              <w:rPr>
                <w:rFonts w:ascii="Franklin Gothic Book" w:eastAsia="Times New Roman" w:hAnsi="Franklin Gothic Book" w:cs="Arial"/>
                <w:b/>
                <w:bCs/>
                <w:color w:val="000000"/>
                <w:sz w:val="18"/>
                <w:szCs w:val="16"/>
              </w:rPr>
            </w:pPr>
            <w:r w:rsidRPr="00377257">
              <w:rPr>
                <w:rFonts w:ascii="Franklin Gothic Book" w:eastAsia="Times New Roman" w:hAnsi="Franklin Gothic Book" w:cs="Arial"/>
                <w:b/>
                <w:bCs/>
                <w:color w:val="000000"/>
                <w:sz w:val="18"/>
                <w:szCs w:val="16"/>
              </w:rPr>
              <w:t>Adjusted Base Rate</w:t>
            </w:r>
          </w:p>
        </w:tc>
      </w:tr>
      <w:tr w:rsidR="00BF0E17" w:rsidRPr="00377257" w14:paraId="3F669EAF"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3E97B53B"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130002</w:t>
            </w:r>
          </w:p>
        </w:tc>
        <w:tc>
          <w:tcPr>
            <w:tcW w:w="3000" w:type="dxa"/>
            <w:tcBorders>
              <w:top w:val="nil"/>
              <w:left w:val="nil"/>
              <w:bottom w:val="single" w:sz="4" w:space="0" w:color="auto"/>
              <w:right w:val="nil"/>
            </w:tcBorders>
            <w:shd w:val="clear" w:color="auto" w:fill="auto"/>
            <w:noWrap/>
            <w:vAlign w:val="bottom"/>
            <w:hideMark/>
          </w:tcPr>
          <w:p w14:paraId="5D107D96" w14:textId="5D724C2C"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St </w:t>
            </w:r>
            <w:r w:rsidR="000924A9" w:rsidRPr="000924A9">
              <w:rPr>
                <w:rFonts w:ascii="Franklin Gothic Book" w:eastAsia="Times New Roman" w:hAnsi="Franklin Gothic Book" w:cs="Arial"/>
                <w:color w:val="000000"/>
                <w:sz w:val="18"/>
                <w:szCs w:val="16"/>
              </w:rPr>
              <w:t>Luke’s</w:t>
            </w:r>
            <w:r w:rsidRPr="00377257">
              <w:rPr>
                <w:rFonts w:ascii="Franklin Gothic Book" w:eastAsia="Times New Roman" w:hAnsi="Franklin Gothic Book" w:cs="Arial"/>
                <w:color w:val="000000"/>
                <w:sz w:val="18"/>
                <w:szCs w:val="16"/>
              </w:rPr>
              <w:t xml:space="preserve"> Magic Valley RMC</w:t>
            </w:r>
          </w:p>
        </w:tc>
        <w:tc>
          <w:tcPr>
            <w:tcW w:w="1660" w:type="dxa"/>
            <w:tcBorders>
              <w:top w:val="nil"/>
              <w:left w:val="nil"/>
              <w:bottom w:val="single" w:sz="4" w:space="0" w:color="auto"/>
              <w:right w:val="nil"/>
            </w:tcBorders>
            <w:shd w:val="clear" w:color="auto" w:fill="auto"/>
            <w:noWrap/>
            <w:vAlign w:val="bottom"/>
            <w:hideMark/>
          </w:tcPr>
          <w:p w14:paraId="5CAEC592" w14:textId="5FDBF65C"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37DE6953"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6A7B7595"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1D5ACC91" w14:textId="78F2A751"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5B42A089"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5EE26867"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130003</w:t>
            </w:r>
          </w:p>
        </w:tc>
        <w:tc>
          <w:tcPr>
            <w:tcW w:w="3000" w:type="dxa"/>
            <w:tcBorders>
              <w:top w:val="nil"/>
              <w:left w:val="nil"/>
              <w:bottom w:val="single" w:sz="4" w:space="0" w:color="auto"/>
              <w:right w:val="nil"/>
            </w:tcBorders>
            <w:shd w:val="clear" w:color="auto" w:fill="auto"/>
            <w:noWrap/>
            <w:vAlign w:val="bottom"/>
            <w:hideMark/>
          </w:tcPr>
          <w:p w14:paraId="2ECC268A"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St Joseph RMC</w:t>
            </w:r>
          </w:p>
        </w:tc>
        <w:tc>
          <w:tcPr>
            <w:tcW w:w="1660" w:type="dxa"/>
            <w:tcBorders>
              <w:top w:val="nil"/>
              <w:left w:val="nil"/>
              <w:bottom w:val="single" w:sz="4" w:space="0" w:color="auto"/>
              <w:right w:val="nil"/>
            </w:tcBorders>
            <w:shd w:val="clear" w:color="auto" w:fill="auto"/>
            <w:noWrap/>
            <w:vAlign w:val="bottom"/>
            <w:hideMark/>
          </w:tcPr>
          <w:p w14:paraId="68EF3DEB" w14:textId="278EA293"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3D274CA5"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27B41B7A"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438EE060" w14:textId="49E86E5D"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0362F480"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2615838F"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130006</w:t>
            </w:r>
          </w:p>
        </w:tc>
        <w:tc>
          <w:tcPr>
            <w:tcW w:w="3000" w:type="dxa"/>
            <w:tcBorders>
              <w:top w:val="nil"/>
              <w:left w:val="nil"/>
              <w:bottom w:val="single" w:sz="4" w:space="0" w:color="auto"/>
              <w:right w:val="nil"/>
            </w:tcBorders>
            <w:shd w:val="clear" w:color="auto" w:fill="auto"/>
            <w:noWrap/>
            <w:vAlign w:val="bottom"/>
            <w:hideMark/>
          </w:tcPr>
          <w:p w14:paraId="2264CBFC" w14:textId="74DEC8C3"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St </w:t>
            </w:r>
            <w:r w:rsidR="000924A9" w:rsidRPr="000924A9">
              <w:rPr>
                <w:rFonts w:ascii="Franklin Gothic Book" w:eastAsia="Times New Roman" w:hAnsi="Franklin Gothic Book" w:cs="Arial"/>
                <w:color w:val="000000"/>
                <w:sz w:val="18"/>
                <w:szCs w:val="16"/>
              </w:rPr>
              <w:t>Luke’s</w:t>
            </w:r>
            <w:r w:rsidRPr="00377257">
              <w:rPr>
                <w:rFonts w:ascii="Franklin Gothic Book" w:eastAsia="Times New Roman" w:hAnsi="Franklin Gothic Book" w:cs="Arial"/>
                <w:color w:val="000000"/>
                <w:sz w:val="18"/>
                <w:szCs w:val="16"/>
              </w:rPr>
              <w:t xml:space="preserve"> RMC</w:t>
            </w:r>
          </w:p>
        </w:tc>
        <w:tc>
          <w:tcPr>
            <w:tcW w:w="1660" w:type="dxa"/>
            <w:tcBorders>
              <w:top w:val="nil"/>
              <w:left w:val="nil"/>
              <w:bottom w:val="single" w:sz="4" w:space="0" w:color="auto"/>
              <w:right w:val="nil"/>
            </w:tcBorders>
            <w:shd w:val="clear" w:color="auto" w:fill="auto"/>
            <w:noWrap/>
            <w:vAlign w:val="bottom"/>
            <w:hideMark/>
          </w:tcPr>
          <w:p w14:paraId="0FF23D85" w14:textId="1F5B097F"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5B2EC8EB"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2CDEC2A7"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78DE4DFE" w14:textId="03C8BEB8"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5D388860"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064A8348"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130007</w:t>
            </w:r>
          </w:p>
        </w:tc>
        <w:tc>
          <w:tcPr>
            <w:tcW w:w="3000" w:type="dxa"/>
            <w:tcBorders>
              <w:top w:val="nil"/>
              <w:left w:val="nil"/>
              <w:bottom w:val="single" w:sz="4" w:space="0" w:color="auto"/>
              <w:right w:val="nil"/>
            </w:tcBorders>
            <w:shd w:val="clear" w:color="auto" w:fill="auto"/>
            <w:noWrap/>
            <w:vAlign w:val="bottom"/>
            <w:hideMark/>
          </w:tcPr>
          <w:p w14:paraId="739B1E25"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St Alphonsus RMC</w:t>
            </w:r>
          </w:p>
        </w:tc>
        <w:tc>
          <w:tcPr>
            <w:tcW w:w="1660" w:type="dxa"/>
            <w:tcBorders>
              <w:top w:val="nil"/>
              <w:left w:val="nil"/>
              <w:bottom w:val="single" w:sz="4" w:space="0" w:color="auto"/>
              <w:right w:val="nil"/>
            </w:tcBorders>
            <w:shd w:val="clear" w:color="auto" w:fill="auto"/>
            <w:noWrap/>
            <w:vAlign w:val="bottom"/>
            <w:hideMark/>
          </w:tcPr>
          <w:p w14:paraId="20E06C1A" w14:textId="35333D6E"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5C9FE242"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7CB7DC62"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348E96B6" w14:textId="115D2E3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3E3133A6"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5CD4B6EC"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130013</w:t>
            </w:r>
          </w:p>
        </w:tc>
        <w:tc>
          <w:tcPr>
            <w:tcW w:w="3000" w:type="dxa"/>
            <w:tcBorders>
              <w:top w:val="nil"/>
              <w:left w:val="nil"/>
              <w:bottom w:val="single" w:sz="4" w:space="0" w:color="auto"/>
              <w:right w:val="nil"/>
            </w:tcBorders>
            <w:shd w:val="clear" w:color="auto" w:fill="auto"/>
            <w:noWrap/>
            <w:vAlign w:val="bottom"/>
            <w:hideMark/>
          </w:tcPr>
          <w:p w14:paraId="677A52B9"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St Alphonsus Med Ctr Nampa</w:t>
            </w:r>
          </w:p>
        </w:tc>
        <w:tc>
          <w:tcPr>
            <w:tcW w:w="1660" w:type="dxa"/>
            <w:tcBorders>
              <w:top w:val="nil"/>
              <w:left w:val="nil"/>
              <w:bottom w:val="single" w:sz="4" w:space="0" w:color="auto"/>
              <w:right w:val="nil"/>
            </w:tcBorders>
            <w:shd w:val="clear" w:color="auto" w:fill="auto"/>
            <w:noWrap/>
            <w:vAlign w:val="bottom"/>
            <w:hideMark/>
          </w:tcPr>
          <w:p w14:paraId="5AC47EFD" w14:textId="30A017C4"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3F488C72"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5D40D7C4"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1BA258B1" w14:textId="5F10CAF1"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31F97DD5"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00974DBC"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130014</w:t>
            </w:r>
          </w:p>
        </w:tc>
        <w:tc>
          <w:tcPr>
            <w:tcW w:w="3000" w:type="dxa"/>
            <w:tcBorders>
              <w:top w:val="nil"/>
              <w:left w:val="nil"/>
              <w:bottom w:val="single" w:sz="4" w:space="0" w:color="auto"/>
              <w:right w:val="nil"/>
            </w:tcBorders>
            <w:shd w:val="clear" w:color="auto" w:fill="auto"/>
            <w:noWrap/>
            <w:vAlign w:val="bottom"/>
            <w:hideMark/>
          </w:tcPr>
          <w:p w14:paraId="478DE463"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West Valley Medical Center</w:t>
            </w:r>
          </w:p>
        </w:tc>
        <w:tc>
          <w:tcPr>
            <w:tcW w:w="1660" w:type="dxa"/>
            <w:tcBorders>
              <w:top w:val="nil"/>
              <w:left w:val="nil"/>
              <w:bottom w:val="single" w:sz="4" w:space="0" w:color="auto"/>
              <w:right w:val="nil"/>
            </w:tcBorders>
            <w:shd w:val="clear" w:color="auto" w:fill="auto"/>
            <w:noWrap/>
            <w:vAlign w:val="bottom"/>
            <w:hideMark/>
          </w:tcPr>
          <w:p w14:paraId="297F818F" w14:textId="36B218CA"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1B9A16DB"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016B831D"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1491A1D1" w14:textId="6907AB75"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0C0A4093"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4B5D2E7B"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130018</w:t>
            </w:r>
          </w:p>
        </w:tc>
        <w:tc>
          <w:tcPr>
            <w:tcW w:w="3000" w:type="dxa"/>
            <w:tcBorders>
              <w:top w:val="nil"/>
              <w:left w:val="nil"/>
              <w:bottom w:val="single" w:sz="4" w:space="0" w:color="auto"/>
              <w:right w:val="nil"/>
            </w:tcBorders>
            <w:shd w:val="clear" w:color="auto" w:fill="auto"/>
            <w:noWrap/>
            <w:vAlign w:val="bottom"/>
            <w:hideMark/>
          </w:tcPr>
          <w:p w14:paraId="50CCFB90"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Eastern Idaho RMC</w:t>
            </w:r>
          </w:p>
        </w:tc>
        <w:tc>
          <w:tcPr>
            <w:tcW w:w="1660" w:type="dxa"/>
            <w:tcBorders>
              <w:top w:val="nil"/>
              <w:left w:val="nil"/>
              <w:bottom w:val="single" w:sz="4" w:space="0" w:color="auto"/>
              <w:right w:val="nil"/>
            </w:tcBorders>
            <w:shd w:val="clear" w:color="auto" w:fill="auto"/>
            <w:noWrap/>
            <w:vAlign w:val="bottom"/>
            <w:hideMark/>
          </w:tcPr>
          <w:p w14:paraId="62DBA16C" w14:textId="488E8E7E"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1ECC8B78"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280F4F44"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6E60A0EB" w14:textId="54787E22"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51BF8101"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005BFBC8"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130025</w:t>
            </w:r>
          </w:p>
        </w:tc>
        <w:tc>
          <w:tcPr>
            <w:tcW w:w="3000" w:type="dxa"/>
            <w:tcBorders>
              <w:top w:val="nil"/>
              <w:left w:val="nil"/>
              <w:bottom w:val="single" w:sz="4" w:space="0" w:color="auto"/>
              <w:right w:val="nil"/>
            </w:tcBorders>
            <w:shd w:val="clear" w:color="auto" w:fill="auto"/>
            <w:noWrap/>
            <w:vAlign w:val="bottom"/>
            <w:hideMark/>
          </w:tcPr>
          <w:p w14:paraId="63D6D9DB"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Madison Memorial Hospital</w:t>
            </w:r>
          </w:p>
        </w:tc>
        <w:tc>
          <w:tcPr>
            <w:tcW w:w="1660" w:type="dxa"/>
            <w:tcBorders>
              <w:top w:val="nil"/>
              <w:left w:val="nil"/>
              <w:bottom w:val="single" w:sz="4" w:space="0" w:color="auto"/>
              <w:right w:val="nil"/>
            </w:tcBorders>
            <w:shd w:val="clear" w:color="auto" w:fill="auto"/>
            <w:noWrap/>
            <w:vAlign w:val="bottom"/>
            <w:hideMark/>
          </w:tcPr>
          <w:p w14:paraId="44709B39" w14:textId="3301DA5C"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2EFFBAD1"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23AEA6FD"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7E490130" w14:textId="392552BE"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3C2820CA"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3AC4D2DD"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130028</w:t>
            </w:r>
          </w:p>
        </w:tc>
        <w:tc>
          <w:tcPr>
            <w:tcW w:w="3000" w:type="dxa"/>
            <w:tcBorders>
              <w:top w:val="nil"/>
              <w:left w:val="nil"/>
              <w:bottom w:val="single" w:sz="4" w:space="0" w:color="auto"/>
              <w:right w:val="nil"/>
            </w:tcBorders>
            <w:shd w:val="clear" w:color="auto" w:fill="auto"/>
            <w:noWrap/>
            <w:vAlign w:val="bottom"/>
            <w:hideMark/>
          </w:tcPr>
          <w:p w14:paraId="2BDA3769"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Portneuf Medical Center</w:t>
            </w:r>
          </w:p>
        </w:tc>
        <w:tc>
          <w:tcPr>
            <w:tcW w:w="1660" w:type="dxa"/>
            <w:tcBorders>
              <w:top w:val="nil"/>
              <w:left w:val="nil"/>
              <w:bottom w:val="single" w:sz="4" w:space="0" w:color="auto"/>
              <w:right w:val="nil"/>
            </w:tcBorders>
            <w:shd w:val="clear" w:color="auto" w:fill="auto"/>
            <w:noWrap/>
            <w:vAlign w:val="bottom"/>
            <w:hideMark/>
          </w:tcPr>
          <w:p w14:paraId="6D8C89CA" w14:textId="75F9D713"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438EF1A2"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5DD8B961"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5E4C9CCC" w14:textId="00BF3450"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149E4029"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6A7EC7B0"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130002</w:t>
            </w:r>
          </w:p>
        </w:tc>
        <w:tc>
          <w:tcPr>
            <w:tcW w:w="3000" w:type="dxa"/>
            <w:tcBorders>
              <w:top w:val="nil"/>
              <w:left w:val="nil"/>
              <w:bottom w:val="single" w:sz="4" w:space="0" w:color="auto"/>
              <w:right w:val="nil"/>
            </w:tcBorders>
            <w:shd w:val="clear" w:color="auto" w:fill="auto"/>
            <w:noWrap/>
            <w:vAlign w:val="bottom"/>
            <w:hideMark/>
          </w:tcPr>
          <w:p w14:paraId="1CBF90C4" w14:textId="424684F4"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St </w:t>
            </w:r>
            <w:r w:rsidR="000924A9" w:rsidRPr="000924A9">
              <w:rPr>
                <w:rFonts w:ascii="Franklin Gothic Book" w:eastAsia="Times New Roman" w:hAnsi="Franklin Gothic Book" w:cs="Arial"/>
                <w:color w:val="000000"/>
                <w:sz w:val="18"/>
                <w:szCs w:val="16"/>
              </w:rPr>
              <w:t>Luke’s</w:t>
            </w:r>
            <w:r w:rsidRPr="00377257">
              <w:rPr>
                <w:rFonts w:ascii="Franklin Gothic Book" w:eastAsia="Times New Roman" w:hAnsi="Franklin Gothic Book" w:cs="Arial"/>
                <w:color w:val="000000"/>
                <w:sz w:val="18"/>
                <w:szCs w:val="16"/>
              </w:rPr>
              <w:t xml:space="preserve"> Magic Valley RMC</w:t>
            </w:r>
          </w:p>
        </w:tc>
        <w:tc>
          <w:tcPr>
            <w:tcW w:w="1660" w:type="dxa"/>
            <w:tcBorders>
              <w:top w:val="nil"/>
              <w:left w:val="nil"/>
              <w:bottom w:val="single" w:sz="4" w:space="0" w:color="auto"/>
              <w:right w:val="nil"/>
            </w:tcBorders>
            <w:shd w:val="clear" w:color="auto" w:fill="auto"/>
            <w:noWrap/>
            <w:vAlign w:val="bottom"/>
            <w:hideMark/>
          </w:tcPr>
          <w:p w14:paraId="7C218345" w14:textId="462F1B61"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2CB5E6A1"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595D6C01"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70054112" w14:textId="331A633F"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6F575650"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161018AC"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130003</w:t>
            </w:r>
          </w:p>
        </w:tc>
        <w:tc>
          <w:tcPr>
            <w:tcW w:w="3000" w:type="dxa"/>
            <w:tcBorders>
              <w:top w:val="nil"/>
              <w:left w:val="nil"/>
              <w:bottom w:val="single" w:sz="4" w:space="0" w:color="auto"/>
              <w:right w:val="nil"/>
            </w:tcBorders>
            <w:shd w:val="clear" w:color="auto" w:fill="auto"/>
            <w:noWrap/>
            <w:vAlign w:val="bottom"/>
            <w:hideMark/>
          </w:tcPr>
          <w:p w14:paraId="028F45AC"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St Joseph RMC</w:t>
            </w:r>
          </w:p>
        </w:tc>
        <w:tc>
          <w:tcPr>
            <w:tcW w:w="1660" w:type="dxa"/>
            <w:tcBorders>
              <w:top w:val="nil"/>
              <w:left w:val="nil"/>
              <w:bottom w:val="single" w:sz="4" w:space="0" w:color="auto"/>
              <w:right w:val="nil"/>
            </w:tcBorders>
            <w:shd w:val="clear" w:color="auto" w:fill="auto"/>
            <w:noWrap/>
            <w:vAlign w:val="bottom"/>
            <w:hideMark/>
          </w:tcPr>
          <w:p w14:paraId="4D707A07" w14:textId="1704E965"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6F062E44"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5B29E1BC"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70C5CD06" w14:textId="1EF3129A"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19B145F8"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04973413"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130006</w:t>
            </w:r>
          </w:p>
        </w:tc>
        <w:tc>
          <w:tcPr>
            <w:tcW w:w="3000" w:type="dxa"/>
            <w:tcBorders>
              <w:top w:val="nil"/>
              <w:left w:val="nil"/>
              <w:bottom w:val="single" w:sz="4" w:space="0" w:color="auto"/>
              <w:right w:val="nil"/>
            </w:tcBorders>
            <w:shd w:val="clear" w:color="auto" w:fill="auto"/>
            <w:noWrap/>
            <w:vAlign w:val="bottom"/>
            <w:hideMark/>
          </w:tcPr>
          <w:p w14:paraId="37B57DDE" w14:textId="6E1D4EF2"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St </w:t>
            </w:r>
            <w:r w:rsidR="000924A9" w:rsidRPr="000924A9">
              <w:rPr>
                <w:rFonts w:ascii="Franklin Gothic Book" w:eastAsia="Times New Roman" w:hAnsi="Franklin Gothic Book" w:cs="Arial"/>
                <w:color w:val="000000"/>
                <w:sz w:val="18"/>
                <w:szCs w:val="16"/>
              </w:rPr>
              <w:t>Luke’s</w:t>
            </w:r>
            <w:r w:rsidRPr="00377257">
              <w:rPr>
                <w:rFonts w:ascii="Franklin Gothic Book" w:eastAsia="Times New Roman" w:hAnsi="Franklin Gothic Book" w:cs="Arial"/>
                <w:color w:val="000000"/>
                <w:sz w:val="18"/>
                <w:szCs w:val="16"/>
              </w:rPr>
              <w:t xml:space="preserve"> RMC</w:t>
            </w:r>
          </w:p>
        </w:tc>
        <w:tc>
          <w:tcPr>
            <w:tcW w:w="1660" w:type="dxa"/>
            <w:tcBorders>
              <w:top w:val="nil"/>
              <w:left w:val="nil"/>
              <w:bottom w:val="single" w:sz="4" w:space="0" w:color="auto"/>
              <w:right w:val="nil"/>
            </w:tcBorders>
            <w:shd w:val="clear" w:color="auto" w:fill="auto"/>
            <w:noWrap/>
            <w:vAlign w:val="bottom"/>
            <w:hideMark/>
          </w:tcPr>
          <w:p w14:paraId="48AA73A2" w14:textId="4CFC042D"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4E22DA5A"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2A1F99FF"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19638350" w14:textId="3617C02C"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63582674"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40D5ED85"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130063</w:t>
            </w:r>
          </w:p>
        </w:tc>
        <w:tc>
          <w:tcPr>
            <w:tcW w:w="3000" w:type="dxa"/>
            <w:tcBorders>
              <w:top w:val="nil"/>
              <w:left w:val="nil"/>
              <w:bottom w:val="single" w:sz="4" w:space="0" w:color="auto"/>
              <w:right w:val="nil"/>
            </w:tcBorders>
            <w:shd w:val="clear" w:color="auto" w:fill="auto"/>
            <w:noWrap/>
            <w:vAlign w:val="bottom"/>
            <w:hideMark/>
          </w:tcPr>
          <w:p w14:paraId="6A05EA85"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Treasure Valley Hospital</w:t>
            </w:r>
          </w:p>
        </w:tc>
        <w:tc>
          <w:tcPr>
            <w:tcW w:w="1660" w:type="dxa"/>
            <w:tcBorders>
              <w:top w:val="nil"/>
              <w:left w:val="nil"/>
              <w:bottom w:val="single" w:sz="4" w:space="0" w:color="auto"/>
              <w:right w:val="nil"/>
            </w:tcBorders>
            <w:shd w:val="clear" w:color="auto" w:fill="auto"/>
            <w:noWrap/>
            <w:vAlign w:val="bottom"/>
            <w:hideMark/>
          </w:tcPr>
          <w:p w14:paraId="0002DD0B" w14:textId="3EAFA107"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08E6919E"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106D0ABB"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42416F50" w14:textId="3CE14DBA"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190F3DC9"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47C81A8A"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130065</w:t>
            </w:r>
          </w:p>
        </w:tc>
        <w:tc>
          <w:tcPr>
            <w:tcW w:w="3000" w:type="dxa"/>
            <w:tcBorders>
              <w:top w:val="nil"/>
              <w:left w:val="nil"/>
              <w:bottom w:val="single" w:sz="4" w:space="0" w:color="auto"/>
              <w:right w:val="nil"/>
            </w:tcBorders>
            <w:shd w:val="clear" w:color="auto" w:fill="auto"/>
            <w:noWrap/>
            <w:vAlign w:val="bottom"/>
            <w:hideMark/>
          </w:tcPr>
          <w:p w14:paraId="62AEF746"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Mountain View Hospital </w:t>
            </w:r>
          </w:p>
        </w:tc>
        <w:tc>
          <w:tcPr>
            <w:tcW w:w="1660" w:type="dxa"/>
            <w:tcBorders>
              <w:top w:val="nil"/>
              <w:left w:val="nil"/>
              <w:bottom w:val="single" w:sz="4" w:space="0" w:color="auto"/>
              <w:right w:val="nil"/>
            </w:tcBorders>
            <w:shd w:val="clear" w:color="auto" w:fill="auto"/>
            <w:noWrap/>
            <w:vAlign w:val="bottom"/>
            <w:hideMark/>
          </w:tcPr>
          <w:p w14:paraId="6D511BC8" w14:textId="4FFE21C8"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5BA3C250"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34625E3D"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3CC62892" w14:textId="23CFBB88"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2DCB0176"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78C20C33"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130066</w:t>
            </w:r>
          </w:p>
        </w:tc>
        <w:tc>
          <w:tcPr>
            <w:tcW w:w="3000" w:type="dxa"/>
            <w:tcBorders>
              <w:top w:val="nil"/>
              <w:left w:val="nil"/>
              <w:bottom w:val="single" w:sz="4" w:space="0" w:color="auto"/>
              <w:right w:val="nil"/>
            </w:tcBorders>
            <w:shd w:val="clear" w:color="auto" w:fill="auto"/>
            <w:noWrap/>
            <w:vAlign w:val="bottom"/>
            <w:hideMark/>
          </w:tcPr>
          <w:p w14:paraId="475B0BF8"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Northwest Specialty Hospital</w:t>
            </w:r>
          </w:p>
        </w:tc>
        <w:tc>
          <w:tcPr>
            <w:tcW w:w="1660" w:type="dxa"/>
            <w:tcBorders>
              <w:top w:val="nil"/>
              <w:left w:val="nil"/>
              <w:bottom w:val="single" w:sz="4" w:space="0" w:color="auto"/>
              <w:right w:val="nil"/>
            </w:tcBorders>
            <w:shd w:val="clear" w:color="auto" w:fill="auto"/>
            <w:noWrap/>
            <w:vAlign w:val="bottom"/>
            <w:hideMark/>
          </w:tcPr>
          <w:p w14:paraId="0AE70449" w14:textId="1AFAC78F"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5B9C1A2B"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0EA4BF90"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6155A5EB" w14:textId="683BB1E4"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13A9449C"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6003E495"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130067</w:t>
            </w:r>
          </w:p>
        </w:tc>
        <w:tc>
          <w:tcPr>
            <w:tcW w:w="3000" w:type="dxa"/>
            <w:tcBorders>
              <w:top w:val="nil"/>
              <w:left w:val="nil"/>
              <w:bottom w:val="single" w:sz="4" w:space="0" w:color="auto"/>
              <w:right w:val="nil"/>
            </w:tcBorders>
            <w:shd w:val="clear" w:color="auto" w:fill="auto"/>
            <w:noWrap/>
            <w:vAlign w:val="bottom"/>
            <w:hideMark/>
          </w:tcPr>
          <w:p w14:paraId="1065045E"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Mountain River Birthing</w:t>
            </w:r>
          </w:p>
        </w:tc>
        <w:tc>
          <w:tcPr>
            <w:tcW w:w="1660" w:type="dxa"/>
            <w:tcBorders>
              <w:top w:val="nil"/>
              <w:left w:val="nil"/>
              <w:bottom w:val="single" w:sz="4" w:space="0" w:color="auto"/>
              <w:right w:val="nil"/>
            </w:tcBorders>
            <w:shd w:val="clear" w:color="auto" w:fill="auto"/>
            <w:noWrap/>
            <w:vAlign w:val="bottom"/>
            <w:hideMark/>
          </w:tcPr>
          <w:p w14:paraId="0E6554A1" w14:textId="584E7310"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606C6D18"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3AA20BEF"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75B09DF9" w14:textId="2D784B4C"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3440B064"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5FB9BE8E"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130071</w:t>
            </w:r>
          </w:p>
        </w:tc>
        <w:tc>
          <w:tcPr>
            <w:tcW w:w="3000" w:type="dxa"/>
            <w:tcBorders>
              <w:top w:val="nil"/>
              <w:left w:val="nil"/>
              <w:bottom w:val="single" w:sz="4" w:space="0" w:color="auto"/>
              <w:right w:val="nil"/>
            </w:tcBorders>
            <w:shd w:val="clear" w:color="auto" w:fill="auto"/>
            <w:noWrap/>
            <w:vAlign w:val="bottom"/>
            <w:hideMark/>
          </w:tcPr>
          <w:p w14:paraId="73D03C07" w14:textId="7AED77E0"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St </w:t>
            </w:r>
            <w:r w:rsidR="000924A9" w:rsidRPr="000924A9">
              <w:rPr>
                <w:rFonts w:ascii="Franklin Gothic Book" w:eastAsia="Times New Roman" w:hAnsi="Franklin Gothic Book" w:cs="Arial"/>
                <w:color w:val="000000"/>
                <w:sz w:val="18"/>
                <w:szCs w:val="16"/>
              </w:rPr>
              <w:t>Luke’s</w:t>
            </w:r>
            <w:r w:rsidRPr="00377257">
              <w:rPr>
                <w:rFonts w:ascii="Franklin Gothic Book" w:eastAsia="Times New Roman" w:hAnsi="Franklin Gothic Book" w:cs="Arial"/>
                <w:color w:val="000000"/>
                <w:sz w:val="18"/>
                <w:szCs w:val="16"/>
              </w:rPr>
              <w:t xml:space="preserve"> Nampa Medical</w:t>
            </w:r>
          </w:p>
        </w:tc>
        <w:tc>
          <w:tcPr>
            <w:tcW w:w="1660" w:type="dxa"/>
            <w:tcBorders>
              <w:top w:val="nil"/>
              <w:left w:val="nil"/>
              <w:bottom w:val="single" w:sz="4" w:space="0" w:color="auto"/>
              <w:right w:val="nil"/>
            </w:tcBorders>
            <w:shd w:val="clear" w:color="auto" w:fill="auto"/>
            <w:noWrap/>
            <w:vAlign w:val="bottom"/>
            <w:hideMark/>
          </w:tcPr>
          <w:p w14:paraId="169BCEB5" w14:textId="32708113"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7255BA76"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5DDF305C"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564F1E0D" w14:textId="22273D49"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4E1F8061"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30BBB3BC"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130074</w:t>
            </w:r>
          </w:p>
        </w:tc>
        <w:tc>
          <w:tcPr>
            <w:tcW w:w="3000" w:type="dxa"/>
            <w:tcBorders>
              <w:top w:val="nil"/>
              <w:left w:val="nil"/>
              <w:bottom w:val="single" w:sz="4" w:space="0" w:color="auto"/>
              <w:right w:val="nil"/>
            </w:tcBorders>
            <w:shd w:val="clear" w:color="auto" w:fill="auto"/>
            <w:noWrap/>
            <w:vAlign w:val="bottom"/>
            <w:hideMark/>
          </w:tcPr>
          <w:p w14:paraId="2BEB111C"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Idaho Falls Community Hospital </w:t>
            </w:r>
          </w:p>
        </w:tc>
        <w:tc>
          <w:tcPr>
            <w:tcW w:w="1660" w:type="dxa"/>
            <w:tcBorders>
              <w:top w:val="nil"/>
              <w:left w:val="nil"/>
              <w:bottom w:val="single" w:sz="4" w:space="0" w:color="auto"/>
              <w:right w:val="nil"/>
            </w:tcBorders>
            <w:shd w:val="clear" w:color="auto" w:fill="auto"/>
            <w:noWrap/>
            <w:vAlign w:val="bottom"/>
            <w:hideMark/>
          </w:tcPr>
          <w:p w14:paraId="73FC2288" w14:textId="7E5D62AC"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2AC5A090"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7AAD702D"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6AB57391" w14:textId="0E1C43E3"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17E0C167"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298CE900"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133028</w:t>
            </w:r>
          </w:p>
        </w:tc>
        <w:tc>
          <w:tcPr>
            <w:tcW w:w="3000" w:type="dxa"/>
            <w:tcBorders>
              <w:top w:val="nil"/>
              <w:left w:val="nil"/>
              <w:bottom w:val="single" w:sz="4" w:space="0" w:color="auto"/>
              <w:right w:val="nil"/>
            </w:tcBorders>
            <w:shd w:val="clear" w:color="auto" w:fill="auto"/>
            <w:noWrap/>
            <w:vAlign w:val="bottom"/>
            <w:hideMark/>
          </w:tcPr>
          <w:p w14:paraId="1DD35DB9" w14:textId="7665CE38" w:rsidR="00BF0E17" w:rsidRPr="00377257" w:rsidRDefault="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Saint Alphonsus Rehab</w:t>
            </w:r>
          </w:p>
        </w:tc>
        <w:tc>
          <w:tcPr>
            <w:tcW w:w="1660" w:type="dxa"/>
            <w:tcBorders>
              <w:top w:val="nil"/>
              <w:left w:val="nil"/>
              <w:bottom w:val="single" w:sz="4" w:space="0" w:color="auto"/>
              <w:right w:val="nil"/>
            </w:tcBorders>
            <w:shd w:val="clear" w:color="auto" w:fill="auto"/>
            <w:noWrap/>
            <w:vAlign w:val="bottom"/>
            <w:hideMark/>
          </w:tcPr>
          <w:p w14:paraId="50BF48F0" w14:textId="460DB361"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555E0B02"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Rehab</w:t>
            </w:r>
          </w:p>
        </w:tc>
        <w:tc>
          <w:tcPr>
            <w:tcW w:w="1540" w:type="dxa"/>
            <w:tcBorders>
              <w:top w:val="nil"/>
              <w:left w:val="nil"/>
              <w:bottom w:val="single" w:sz="4" w:space="0" w:color="auto"/>
              <w:right w:val="nil"/>
            </w:tcBorders>
            <w:shd w:val="clear" w:color="auto" w:fill="auto"/>
            <w:noWrap/>
            <w:vAlign w:val="bottom"/>
            <w:hideMark/>
          </w:tcPr>
          <w:p w14:paraId="13D9342E"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2.65</w:t>
            </w:r>
          </w:p>
        </w:tc>
        <w:tc>
          <w:tcPr>
            <w:tcW w:w="1585" w:type="dxa"/>
            <w:tcBorders>
              <w:top w:val="nil"/>
              <w:left w:val="nil"/>
              <w:bottom w:val="single" w:sz="4" w:space="0" w:color="auto"/>
              <w:right w:val="single" w:sz="4" w:space="0" w:color="auto"/>
            </w:tcBorders>
            <w:shd w:val="clear" w:color="auto" w:fill="auto"/>
            <w:noWrap/>
            <w:vAlign w:val="bottom"/>
            <w:hideMark/>
          </w:tcPr>
          <w:p w14:paraId="0EB38422" w14:textId="5ADEB9CD"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29,6</w:t>
            </w:r>
            <w:r w:rsidR="003E5EF8">
              <w:rPr>
                <w:rFonts w:ascii="Franklin Gothic Book" w:eastAsia="Times New Roman" w:hAnsi="Franklin Gothic Book" w:cs="Arial"/>
                <w:color w:val="000000"/>
                <w:sz w:val="18"/>
                <w:szCs w:val="16"/>
              </w:rPr>
              <w:t>98</w:t>
            </w:r>
            <w:r w:rsidRPr="00377257">
              <w:rPr>
                <w:rFonts w:ascii="Franklin Gothic Book" w:eastAsia="Times New Roman" w:hAnsi="Franklin Gothic Book" w:cs="Arial"/>
                <w:color w:val="000000"/>
                <w:sz w:val="18"/>
                <w:szCs w:val="16"/>
              </w:rPr>
              <w:t>.</w:t>
            </w:r>
            <w:r w:rsidR="003E5EF8">
              <w:rPr>
                <w:rFonts w:ascii="Franklin Gothic Book" w:eastAsia="Times New Roman" w:hAnsi="Franklin Gothic Book" w:cs="Arial"/>
                <w:color w:val="000000"/>
                <w:sz w:val="18"/>
                <w:szCs w:val="16"/>
              </w:rPr>
              <w:t>5</w:t>
            </w:r>
            <w:r w:rsidRPr="00377257">
              <w:rPr>
                <w:rFonts w:ascii="Franklin Gothic Book" w:eastAsia="Times New Roman" w:hAnsi="Franklin Gothic Book" w:cs="Arial"/>
                <w:color w:val="000000"/>
                <w:sz w:val="18"/>
                <w:szCs w:val="16"/>
              </w:rPr>
              <w:t>5</w:t>
            </w:r>
            <w:proofErr w:type="gramEnd"/>
            <w:r w:rsidRPr="00377257">
              <w:rPr>
                <w:rFonts w:ascii="Franklin Gothic Book" w:eastAsia="Times New Roman" w:hAnsi="Franklin Gothic Book" w:cs="Arial"/>
                <w:color w:val="000000"/>
                <w:sz w:val="18"/>
                <w:szCs w:val="16"/>
              </w:rPr>
              <w:t xml:space="preserve"> </w:t>
            </w:r>
          </w:p>
        </w:tc>
      </w:tr>
      <w:tr w:rsidR="00BF0E17" w:rsidRPr="00377257" w14:paraId="30DB852F"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246856F9"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132001</w:t>
            </w:r>
          </w:p>
        </w:tc>
        <w:tc>
          <w:tcPr>
            <w:tcW w:w="3000" w:type="dxa"/>
            <w:tcBorders>
              <w:top w:val="nil"/>
              <w:left w:val="nil"/>
              <w:bottom w:val="single" w:sz="4" w:space="0" w:color="auto"/>
              <w:right w:val="nil"/>
            </w:tcBorders>
            <w:shd w:val="clear" w:color="auto" w:fill="auto"/>
            <w:noWrap/>
            <w:vAlign w:val="bottom"/>
            <w:hideMark/>
          </w:tcPr>
          <w:p w14:paraId="51DD5E08"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Northern Idaho Advanced Care</w:t>
            </w:r>
          </w:p>
        </w:tc>
        <w:tc>
          <w:tcPr>
            <w:tcW w:w="1660" w:type="dxa"/>
            <w:tcBorders>
              <w:top w:val="nil"/>
              <w:left w:val="nil"/>
              <w:bottom w:val="single" w:sz="4" w:space="0" w:color="auto"/>
              <w:right w:val="nil"/>
            </w:tcBorders>
            <w:shd w:val="clear" w:color="auto" w:fill="auto"/>
            <w:noWrap/>
            <w:vAlign w:val="bottom"/>
            <w:hideMark/>
          </w:tcPr>
          <w:p w14:paraId="346D2F00" w14:textId="63C992B3"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5BB0E186"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LTAC</w:t>
            </w:r>
          </w:p>
        </w:tc>
        <w:tc>
          <w:tcPr>
            <w:tcW w:w="1540" w:type="dxa"/>
            <w:tcBorders>
              <w:top w:val="nil"/>
              <w:left w:val="nil"/>
              <w:bottom w:val="single" w:sz="4" w:space="0" w:color="auto"/>
              <w:right w:val="nil"/>
            </w:tcBorders>
            <w:shd w:val="clear" w:color="auto" w:fill="auto"/>
            <w:noWrap/>
            <w:vAlign w:val="bottom"/>
            <w:hideMark/>
          </w:tcPr>
          <w:p w14:paraId="2BC8B94F"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2.65</w:t>
            </w:r>
          </w:p>
        </w:tc>
        <w:tc>
          <w:tcPr>
            <w:tcW w:w="1585" w:type="dxa"/>
            <w:tcBorders>
              <w:top w:val="nil"/>
              <w:left w:val="nil"/>
              <w:bottom w:val="single" w:sz="4" w:space="0" w:color="auto"/>
              <w:right w:val="single" w:sz="4" w:space="0" w:color="auto"/>
            </w:tcBorders>
            <w:shd w:val="clear" w:color="auto" w:fill="auto"/>
            <w:noWrap/>
            <w:vAlign w:val="bottom"/>
            <w:hideMark/>
          </w:tcPr>
          <w:p w14:paraId="4E79C731" w14:textId="08A6471B"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29,</w:t>
            </w:r>
            <w:r w:rsidR="003E5EF8" w:rsidRPr="00377257">
              <w:rPr>
                <w:rFonts w:ascii="Franklin Gothic Book" w:eastAsia="Times New Roman" w:hAnsi="Franklin Gothic Book" w:cs="Arial"/>
                <w:color w:val="000000"/>
                <w:sz w:val="18"/>
                <w:szCs w:val="16"/>
              </w:rPr>
              <w:t>6</w:t>
            </w:r>
            <w:r w:rsidR="003E5EF8">
              <w:rPr>
                <w:rFonts w:ascii="Franklin Gothic Book" w:eastAsia="Times New Roman" w:hAnsi="Franklin Gothic Book" w:cs="Arial"/>
                <w:color w:val="000000"/>
                <w:sz w:val="18"/>
                <w:szCs w:val="16"/>
              </w:rPr>
              <w:t>98</w:t>
            </w:r>
            <w:r w:rsidR="003E5EF8" w:rsidRPr="00377257">
              <w:rPr>
                <w:rFonts w:ascii="Franklin Gothic Book" w:eastAsia="Times New Roman" w:hAnsi="Franklin Gothic Book" w:cs="Arial"/>
                <w:color w:val="000000"/>
                <w:sz w:val="18"/>
                <w:szCs w:val="16"/>
              </w:rPr>
              <w:t>.</w:t>
            </w:r>
            <w:r w:rsidR="003E5EF8">
              <w:rPr>
                <w:rFonts w:ascii="Franklin Gothic Book" w:eastAsia="Times New Roman" w:hAnsi="Franklin Gothic Book" w:cs="Arial"/>
                <w:color w:val="000000"/>
                <w:sz w:val="18"/>
                <w:szCs w:val="16"/>
              </w:rPr>
              <w:t>5</w:t>
            </w:r>
            <w:r w:rsidR="003E5EF8" w:rsidRPr="00377257">
              <w:rPr>
                <w:rFonts w:ascii="Franklin Gothic Book" w:eastAsia="Times New Roman" w:hAnsi="Franklin Gothic Book" w:cs="Arial"/>
                <w:color w:val="000000"/>
                <w:sz w:val="18"/>
                <w:szCs w:val="16"/>
              </w:rPr>
              <w:t>5</w:t>
            </w:r>
            <w:proofErr w:type="gramEnd"/>
          </w:p>
        </w:tc>
      </w:tr>
      <w:tr w:rsidR="00BF0E17" w:rsidRPr="00377257" w14:paraId="2103DB77"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70912281"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132002</w:t>
            </w:r>
          </w:p>
        </w:tc>
        <w:tc>
          <w:tcPr>
            <w:tcW w:w="3000" w:type="dxa"/>
            <w:tcBorders>
              <w:top w:val="nil"/>
              <w:left w:val="nil"/>
              <w:bottom w:val="single" w:sz="4" w:space="0" w:color="auto"/>
              <w:right w:val="nil"/>
            </w:tcBorders>
            <w:shd w:val="clear" w:color="auto" w:fill="auto"/>
            <w:noWrap/>
            <w:vAlign w:val="bottom"/>
            <w:hideMark/>
          </w:tcPr>
          <w:p w14:paraId="0AE5A52E"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Vibra Hospital of Boise</w:t>
            </w:r>
          </w:p>
        </w:tc>
        <w:tc>
          <w:tcPr>
            <w:tcW w:w="1660" w:type="dxa"/>
            <w:tcBorders>
              <w:top w:val="nil"/>
              <w:left w:val="nil"/>
              <w:bottom w:val="single" w:sz="4" w:space="0" w:color="auto"/>
              <w:right w:val="nil"/>
            </w:tcBorders>
            <w:shd w:val="clear" w:color="auto" w:fill="auto"/>
            <w:noWrap/>
            <w:vAlign w:val="bottom"/>
            <w:hideMark/>
          </w:tcPr>
          <w:p w14:paraId="26FE81FF" w14:textId="7F26A43E"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0CCDD487"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LTAC</w:t>
            </w:r>
          </w:p>
        </w:tc>
        <w:tc>
          <w:tcPr>
            <w:tcW w:w="1540" w:type="dxa"/>
            <w:tcBorders>
              <w:top w:val="nil"/>
              <w:left w:val="nil"/>
              <w:bottom w:val="single" w:sz="4" w:space="0" w:color="auto"/>
              <w:right w:val="nil"/>
            </w:tcBorders>
            <w:shd w:val="clear" w:color="auto" w:fill="auto"/>
            <w:noWrap/>
            <w:vAlign w:val="bottom"/>
            <w:hideMark/>
          </w:tcPr>
          <w:p w14:paraId="4F5EFE0F"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2.65</w:t>
            </w:r>
          </w:p>
        </w:tc>
        <w:tc>
          <w:tcPr>
            <w:tcW w:w="1585" w:type="dxa"/>
            <w:tcBorders>
              <w:top w:val="nil"/>
              <w:left w:val="nil"/>
              <w:bottom w:val="single" w:sz="4" w:space="0" w:color="auto"/>
              <w:right w:val="single" w:sz="4" w:space="0" w:color="auto"/>
            </w:tcBorders>
            <w:shd w:val="clear" w:color="auto" w:fill="auto"/>
            <w:noWrap/>
            <w:vAlign w:val="bottom"/>
            <w:hideMark/>
          </w:tcPr>
          <w:p w14:paraId="0A455613" w14:textId="63777B6F"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29,</w:t>
            </w:r>
            <w:r w:rsidR="003E5EF8" w:rsidRPr="00377257">
              <w:rPr>
                <w:rFonts w:ascii="Franklin Gothic Book" w:eastAsia="Times New Roman" w:hAnsi="Franklin Gothic Book" w:cs="Arial"/>
                <w:color w:val="000000"/>
                <w:sz w:val="18"/>
                <w:szCs w:val="16"/>
              </w:rPr>
              <w:t>6</w:t>
            </w:r>
            <w:r w:rsidR="003E5EF8">
              <w:rPr>
                <w:rFonts w:ascii="Franklin Gothic Book" w:eastAsia="Times New Roman" w:hAnsi="Franklin Gothic Book" w:cs="Arial"/>
                <w:color w:val="000000"/>
                <w:sz w:val="18"/>
                <w:szCs w:val="16"/>
              </w:rPr>
              <w:t>98</w:t>
            </w:r>
            <w:r w:rsidR="003E5EF8" w:rsidRPr="00377257">
              <w:rPr>
                <w:rFonts w:ascii="Franklin Gothic Book" w:eastAsia="Times New Roman" w:hAnsi="Franklin Gothic Book" w:cs="Arial"/>
                <w:color w:val="000000"/>
                <w:sz w:val="18"/>
                <w:szCs w:val="16"/>
              </w:rPr>
              <w:t>.</w:t>
            </w:r>
            <w:r w:rsidR="003E5EF8">
              <w:rPr>
                <w:rFonts w:ascii="Franklin Gothic Book" w:eastAsia="Times New Roman" w:hAnsi="Franklin Gothic Book" w:cs="Arial"/>
                <w:color w:val="000000"/>
                <w:sz w:val="18"/>
                <w:szCs w:val="16"/>
              </w:rPr>
              <w:t>5</w:t>
            </w:r>
            <w:r w:rsidR="003E5EF8" w:rsidRPr="00377257">
              <w:rPr>
                <w:rFonts w:ascii="Franklin Gothic Book" w:eastAsia="Times New Roman" w:hAnsi="Franklin Gothic Book" w:cs="Arial"/>
                <w:color w:val="000000"/>
                <w:sz w:val="18"/>
                <w:szCs w:val="16"/>
              </w:rPr>
              <w:t>5</w:t>
            </w:r>
            <w:proofErr w:type="gramEnd"/>
          </w:p>
        </w:tc>
      </w:tr>
      <w:tr w:rsidR="00BF0E17" w:rsidRPr="00377257" w14:paraId="4E29B8D4"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2C071F6D"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133027</w:t>
            </w:r>
          </w:p>
        </w:tc>
        <w:tc>
          <w:tcPr>
            <w:tcW w:w="3000" w:type="dxa"/>
            <w:tcBorders>
              <w:top w:val="nil"/>
              <w:left w:val="nil"/>
              <w:bottom w:val="single" w:sz="4" w:space="0" w:color="auto"/>
              <w:right w:val="nil"/>
            </w:tcBorders>
            <w:shd w:val="clear" w:color="auto" w:fill="auto"/>
            <w:noWrap/>
            <w:vAlign w:val="bottom"/>
            <w:hideMark/>
          </w:tcPr>
          <w:p w14:paraId="284D5F1B"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Rehab Hospital of the Northwest </w:t>
            </w:r>
          </w:p>
        </w:tc>
        <w:tc>
          <w:tcPr>
            <w:tcW w:w="1660" w:type="dxa"/>
            <w:tcBorders>
              <w:top w:val="nil"/>
              <w:left w:val="nil"/>
              <w:bottom w:val="single" w:sz="4" w:space="0" w:color="auto"/>
              <w:right w:val="nil"/>
            </w:tcBorders>
            <w:shd w:val="clear" w:color="auto" w:fill="auto"/>
            <w:noWrap/>
            <w:vAlign w:val="bottom"/>
            <w:hideMark/>
          </w:tcPr>
          <w:p w14:paraId="3B4665BA" w14:textId="704FD74D"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16B95F06"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Rehab</w:t>
            </w:r>
          </w:p>
        </w:tc>
        <w:tc>
          <w:tcPr>
            <w:tcW w:w="1540" w:type="dxa"/>
            <w:tcBorders>
              <w:top w:val="nil"/>
              <w:left w:val="nil"/>
              <w:bottom w:val="single" w:sz="4" w:space="0" w:color="auto"/>
              <w:right w:val="nil"/>
            </w:tcBorders>
            <w:shd w:val="clear" w:color="auto" w:fill="auto"/>
            <w:noWrap/>
            <w:vAlign w:val="bottom"/>
            <w:hideMark/>
          </w:tcPr>
          <w:p w14:paraId="607F2379"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2.65</w:t>
            </w:r>
          </w:p>
        </w:tc>
        <w:tc>
          <w:tcPr>
            <w:tcW w:w="1585" w:type="dxa"/>
            <w:tcBorders>
              <w:top w:val="nil"/>
              <w:left w:val="nil"/>
              <w:bottom w:val="single" w:sz="4" w:space="0" w:color="auto"/>
              <w:right w:val="single" w:sz="4" w:space="0" w:color="auto"/>
            </w:tcBorders>
            <w:shd w:val="clear" w:color="auto" w:fill="auto"/>
            <w:noWrap/>
            <w:vAlign w:val="bottom"/>
            <w:hideMark/>
          </w:tcPr>
          <w:p w14:paraId="0880BEF0" w14:textId="78836450"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29</w:t>
            </w:r>
            <w:proofErr w:type="gramEnd"/>
            <w:r w:rsidRPr="00377257">
              <w:rPr>
                <w:rFonts w:ascii="Franklin Gothic Book" w:eastAsia="Times New Roman" w:hAnsi="Franklin Gothic Book" w:cs="Arial"/>
                <w:color w:val="000000"/>
                <w:sz w:val="18"/>
                <w:szCs w:val="16"/>
              </w:rPr>
              <w:t>,</w:t>
            </w:r>
            <w:r w:rsidR="003E5EF8" w:rsidRPr="00377257">
              <w:rPr>
                <w:rFonts w:ascii="Franklin Gothic Book" w:eastAsia="Times New Roman" w:hAnsi="Franklin Gothic Book" w:cs="Arial"/>
                <w:color w:val="000000"/>
                <w:sz w:val="18"/>
                <w:szCs w:val="16"/>
              </w:rPr>
              <w:t xml:space="preserve"> 6</w:t>
            </w:r>
            <w:r w:rsidR="003E5EF8">
              <w:rPr>
                <w:rFonts w:ascii="Franklin Gothic Book" w:eastAsia="Times New Roman" w:hAnsi="Franklin Gothic Book" w:cs="Arial"/>
                <w:color w:val="000000"/>
                <w:sz w:val="18"/>
                <w:szCs w:val="16"/>
              </w:rPr>
              <w:t>98</w:t>
            </w:r>
            <w:r w:rsidR="003E5EF8" w:rsidRPr="00377257">
              <w:rPr>
                <w:rFonts w:ascii="Franklin Gothic Book" w:eastAsia="Times New Roman" w:hAnsi="Franklin Gothic Book" w:cs="Arial"/>
                <w:color w:val="000000"/>
                <w:sz w:val="18"/>
                <w:szCs w:val="16"/>
              </w:rPr>
              <w:t>.</w:t>
            </w:r>
            <w:r w:rsidR="003E5EF8">
              <w:rPr>
                <w:rFonts w:ascii="Franklin Gothic Book" w:eastAsia="Times New Roman" w:hAnsi="Franklin Gothic Book" w:cs="Arial"/>
                <w:color w:val="000000"/>
                <w:sz w:val="18"/>
                <w:szCs w:val="16"/>
              </w:rPr>
              <w:t>5</w:t>
            </w:r>
            <w:r w:rsidR="003E5EF8" w:rsidRPr="00377257">
              <w:rPr>
                <w:rFonts w:ascii="Franklin Gothic Book" w:eastAsia="Times New Roman" w:hAnsi="Franklin Gothic Book" w:cs="Arial"/>
                <w:color w:val="000000"/>
                <w:sz w:val="18"/>
                <w:szCs w:val="16"/>
              </w:rPr>
              <w:t>5</w:t>
            </w:r>
          </w:p>
        </w:tc>
      </w:tr>
      <w:tr w:rsidR="00BF0E17" w:rsidRPr="00377257" w14:paraId="258CC1F9"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31A48D56"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134009</w:t>
            </w:r>
          </w:p>
        </w:tc>
        <w:tc>
          <w:tcPr>
            <w:tcW w:w="3000" w:type="dxa"/>
            <w:tcBorders>
              <w:top w:val="nil"/>
              <w:left w:val="nil"/>
              <w:bottom w:val="single" w:sz="4" w:space="0" w:color="auto"/>
              <w:right w:val="nil"/>
            </w:tcBorders>
            <w:shd w:val="clear" w:color="auto" w:fill="auto"/>
            <w:noWrap/>
            <w:vAlign w:val="bottom"/>
            <w:hideMark/>
          </w:tcPr>
          <w:p w14:paraId="10CEDA70"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Lifeways Hospital</w:t>
            </w:r>
          </w:p>
        </w:tc>
        <w:tc>
          <w:tcPr>
            <w:tcW w:w="1660" w:type="dxa"/>
            <w:tcBorders>
              <w:top w:val="nil"/>
              <w:left w:val="nil"/>
              <w:bottom w:val="single" w:sz="4" w:space="0" w:color="auto"/>
              <w:right w:val="nil"/>
            </w:tcBorders>
            <w:shd w:val="clear" w:color="auto" w:fill="auto"/>
            <w:noWrap/>
            <w:vAlign w:val="bottom"/>
            <w:hideMark/>
          </w:tcPr>
          <w:p w14:paraId="6A9EA505" w14:textId="4D7A0D54"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w:t>
            </w:r>
            <w:r w:rsidR="003E5EF8">
              <w:rPr>
                <w:rFonts w:ascii="Franklin Gothic Book" w:eastAsia="Times New Roman" w:hAnsi="Franklin Gothic Book" w:cs="Arial"/>
                <w:color w:val="000000"/>
                <w:sz w:val="18"/>
                <w:szCs w:val="16"/>
              </w:rPr>
              <w:t>20</w:t>
            </w:r>
            <w:r w:rsidRPr="00377257">
              <w:rPr>
                <w:rFonts w:ascii="Franklin Gothic Book" w:eastAsia="Times New Roman" w:hAnsi="Franklin Gothic Book" w:cs="Arial"/>
                <w:color w:val="000000"/>
                <w:sz w:val="18"/>
                <w:szCs w:val="16"/>
              </w:rPr>
              <w:t xml:space="preserve">7.00 </w:t>
            </w:r>
          </w:p>
        </w:tc>
        <w:tc>
          <w:tcPr>
            <w:tcW w:w="925" w:type="dxa"/>
            <w:tcBorders>
              <w:top w:val="nil"/>
              <w:left w:val="nil"/>
              <w:bottom w:val="single" w:sz="4" w:space="0" w:color="auto"/>
              <w:right w:val="nil"/>
            </w:tcBorders>
            <w:shd w:val="clear" w:color="auto" w:fill="auto"/>
            <w:noWrap/>
            <w:vAlign w:val="bottom"/>
            <w:hideMark/>
          </w:tcPr>
          <w:p w14:paraId="632DA2B5"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w:t>
            </w:r>
          </w:p>
        </w:tc>
        <w:tc>
          <w:tcPr>
            <w:tcW w:w="1540" w:type="dxa"/>
            <w:tcBorders>
              <w:top w:val="nil"/>
              <w:left w:val="nil"/>
              <w:bottom w:val="single" w:sz="4" w:space="0" w:color="auto"/>
              <w:right w:val="nil"/>
            </w:tcBorders>
            <w:shd w:val="clear" w:color="auto" w:fill="auto"/>
            <w:noWrap/>
            <w:vAlign w:val="bottom"/>
            <w:hideMark/>
          </w:tcPr>
          <w:p w14:paraId="68C7D730"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559739AF" w14:textId="6E49F7BB"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11,197.00</w:t>
            </w:r>
            <w:proofErr w:type="gramEnd"/>
            <w:r w:rsidRPr="00377257">
              <w:rPr>
                <w:rFonts w:ascii="Franklin Gothic Book" w:eastAsia="Times New Roman" w:hAnsi="Franklin Gothic Book" w:cs="Arial"/>
                <w:color w:val="000000"/>
                <w:sz w:val="18"/>
                <w:szCs w:val="16"/>
              </w:rPr>
              <w:t xml:space="preserve"> </w:t>
            </w:r>
          </w:p>
        </w:tc>
      </w:tr>
      <w:tr w:rsidR="00BF0E17" w:rsidRPr="00377257" w14:paraId="58113CB7" w14:textId="77777777" w:rsidTr="00377257">
        <w:trPr>
          <w:trHeight w:val="288"/>
        </w:trPr>
        <w:tc>
          <w:tcPr>
            <w:tcW w:w="1005" w:type="dxa"/>
            <w:tcBorders>
              <w:top w:val="nil"/>
              <w:left w:val="single" w:sz="4" w:space="0" w:color="auto"/>
              <w:bottom w:val="single" w:sz="4" w:space="0" w:color="auto"/>
              <w:right w:val="nil"/>
            </w:tcBorders>
            <w:shd w:val="clear" w:color="auto" w:fill="auto"/>
            <w:noWrap/>
            <w:vAlign w:val="bottom"/>
            <w:hideMark/>
          </w:tcPr>
          <w:p w14:paraId="23FA274E"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w:t>
            </w:r>
          </w:p>
        </w:tc>
        <w:tc>
          <w:tcPr>
            <w:tcW w:w="3000" w:type="dxa"/>
            <w:tcBorders>
              <w:top w:val="nil"/>
              <w:left w:val="nil"/>
              <w:bottom w:val="single" w:sz="4" w:space="0" w:color="auto"/>
              <w:right w:val="nil"/>
            </w:tcBorders>
            <w:shd w:val="clear" w:color="auto" w:fill="auto"/>
            <w:noWrap/>
            <w:vAlign w:val="bottom"/>
            <w:hideMark/>
          </w:tcPr>
          <w:p w14:paraId="4EC29781"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Out of State</w:t>
            </w:r>
          </w:p>
        </w:tc>
        <w:tc>
          <w:tcPr>
            <w:tcW w:w="1660" w:type="dxa"/>
            <w:tcBorders>
              <w:top w:val="nil"/>
              <w:left w:val="nil"/>
              <w:bottom w:val="single" w:sz="4" w:space="0" w:color="auto"/>
              <w:right w:val="nil"/>
            </w:tcBorders>
            <w:shd w:val="clear" w:color="auto" w:fill="auto"/>
            <w:noWrap/>
            <w:vAlign w:val="bottom"/>
            <w:hideMark/>
          </w:tcPr>
          <w:p w14:paraId="1A3B043C" w14:textId="6F3543B3" w:rsidR="00BF0E17" w:rsidRPr="00377257" w:rsidRDefault="00BF0E17" w:rsidP="003E5EF8">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13,0</w:t>
            </w:r>
            <w:r w:rsidR="003E5EF8">
              <w:rPr>
                <w:rFonts w:ascii="Franklin Gothic Book" w:eastAsia="Times New Roman" w:hAnsi="Franklin Gothic Book" w:cs="Arial"/>
                <w:color w:val="000000"/>
                <w:sz w:val="18"/>
                <w:szCs w:val="16"/>
              </w:rPr>
              <w:t>1</w:t>
            </w:r>
            <w:r w:rsidRPr="00377257">
              <w:rPr>
                <w:rFonts w:ascii="Franklin Gothic Book" w:eastAsia="Times New Roman" w:hAnsi="Franklin Gothic Book" w:cs="Arial"/>
                <w:color w:val="000000"/>
                <w:sz w:val="18"/>
                <w:szCs w:val="16"/>
              </w:rPr>
              <w:t xml:space="preserve">0.00 </w:t>
            </w:r>
          </w:p>
        </w:tc>
        <w:tc>
          <w:tcPr>
            <w:tcW w:w="925" w:type="dxa"/>
            <w:tcBorders>
              <w:top w:val="nil"/>
              <w:left w:val="nil"/>
              <w:bottom w:val="single" w:sz="4" w:space="0" w:color="auto"/>
              <w:right w:val="nil"/>
            </w:tcBorders>
            <w:shd w:val="clear" w:color="auto" w:fill="auto"/>
            <w:noWrap/>
            <w:vAlign w:val="bottom"/>
            <w:hideMark/>
          </w:tcPr>
          <w:p w14:paraId="651E3980" w14:textId="77777777"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w:t>
            </w:r>
          </w:p>
        </w:tc>
        <w:tc>
          <w:tcPr>
            <w:tcW w:w="1540" w:type="dxa"/>
            <w:tcBorders>
              <w:top w:val="nil"/>
              <w:left w:val="nil"/>
              <w:bottom w:val="single" w:sz="4" w:space="0" w:color="auto"/>
              <w:right w:val="nil"/>
            </w:tcBorders>
            <w:shd w:val="clear" w:color="auto" w:fill="auto"/>
            <w:noWrap/>
            <w:vAlign w:val="bottom"/>
            <w:hideMark/>
          </w:tcPr>
          <w:p w14:paraId="5390DD2F" w14:textId="77777777" w:rsidR="00BF0E17" w:rsidRPr="00377257" w:rsidRDefault="00BF0E17" w:rsidP="00BF0E17">
            <w:pPr>
              <w:spacing w:after="0" w:line="240" w:lineRule="auto"/>
              <w:jc w:val="right"/>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1.00</w:t>
            </w:r>
          </w:p>
        </w:tc>
        <w:tc>
          <w:tcPr>
            <w:tcW w:w="1585" w:type="dxa"/>
            <w:tcBorders>
              <w:top w:val="nil"/>
              <w:left w:val="nil"/>
              <w:bottom w:val="single" w:sz="4" w:space="0" w:color="auto"/>
              <w:right w:val="single" w:sz="4" w:space="0" w:color="auto"/>
            </w:tcBorders>
            <w:shd w:val="clear" w:color="auto" w:fill="auto"/>
            <w:noWrap/>
            <w:vAlign w:val="bottom"/>
            <w:hideMark/>
          </w:tcPr>
          <w:p w14:paraId="77822D50" w14:textId="35ADFE49" w:rsidR="00BF0E17" w:rsidRPr="00377257" w:rsidRDefault="00BF0E17" w:rsidP="00BF0E17">
            <w:pPr>
              <w:spacing w:after="0" w:line="240" w:lineRule="auto"/>
              <w:rPr>
                <w:rFonts w:ascii="Franklin Gothic Book" w:eastAsia="Times New Roman" w:hAnsi="Franklin Gothic Book" w:cs="Arial"/>
                <w:color w:val="000000"/>
                <w:sz w:val="18"/>
                <w:szCs w:val="16"/>
              </w:rPr>
            </w:pPr>
            <w:r w:rsidRPr="00377257">
              <w:rPr>
                <w:rFonts w:ascii="Franklin Gothic Book" w:eastAsia="Times New Roman" w:hAnsi="Franklin Gothic Book" w:cs="Arial"/>
                <w:color w:val="000000"/>
                <w:sz w:val="18"/>
                <w:szCs w:val="16"/>
              </w:rPr>
              <w:t xml:space="preserve"> </w:t>
            </w:r>
            <w:proofErr w:type="gramStart"/>
            <w:r w:rsidRPr="00377257">
              <w:rPr>
                <w:rFonts w:ascii="Franklin Gothic Book" w:eastAsia="Times New Roman" w:hAnsi="Franklin Gothic Book" w:cs="Arial"/>
                <w:color w:val="000000"/>
                <w:sz w:val="18"/>
                <w:szCs w:val="16"/>
              </w:rPr>
              <w:t>$</w:t>
            </w:r>
            <w:r w:rsidR="000924A9" w:rsidRPr="00377257">
              <w:rPr>
                <w:rFonts w:ascii="Franklin Gothic Book" w:eastAsia="Times New Roman" w:hAnsi="Franklin Gothic Book" w:cs="Arial"/>
                <w:color w:val="000000"/>
                <w:sz w:val="18"/>
                <w:szCs w:val="16"/>
              </w:rPr>
              <w:t xml:space="preserve">  </w:t>
            </w:r>
            <w:r w:rsidRPr="00377257">
              <w:rPr>
                <w:rFonts w:ascii="Franklin Gothic Book" w:eastAsia="Times New Roman" w:hAnsi="Franklin Gothic Book" w:cs="Arial"/>
                <w:color w:val="000000"/>
                <w:sz w:val="18"/>
                <w:szCs w:val="16"/>
              </w:rPr>
              <w:t>13,000.00</w:t>
            </w:r>
            <w:proofErr w:type="gramEnd"/>
            <w:r w:rsidRPr="00377257">
              <w:rPr>
                <w:rFonts w:ascii="Franklin Gothic Book" w:eastAsia="Times New Roman" w:hAnsi="Franklin Gothic Book" w:cs="Arial"/>
                <w:color w:val="000000"/>
                <w:sz w:val="18"/>
                <w:szCs w:val="16"/>
              </w:rPr>
              <w:t xml:space="preserve"> </w:t>
            </w:r>
          </w:p>
        </w:tc>
      </w:tr>
    </w:tbl>
    <w:p w14:paraId="5EB044C7" w14:textId="77777777" w:rsidR="000F1E12" w:rsidRPr="00330D57" w:rsidRDefault="000F1E12" w:rsidP="00110CA9">
      <w:pPr>
        <w:pStyle w:val="ListParagraph"/>
        <w:spacing w:after="120" w:line="240" w:lineRule="auto"/>
        <w:ind w:left="360"/>
        <w:rPr>
          <w:rFonts w:ascii="Franklin Gothic Book" w:hAnsi="Franklin Gothic Book" w:cs="Arial"/>
          <w:sz w:val="20"/>
        </w:rPr>
      </w:pPr>
    </w:p>
    <w:p w14:paraId="669DD65C" w14:textId="77777777" w:rsidR="004B4D05" w:rsidRPr="00330D57" w:rsidRDefault="004B4D05" w:rsidP="00110CA9">
      <w:pPr>
        <w:pStyle w:val="ListParagraph"/>
        <w:spacing w:after="120" w:line="240" w:lineRule="auto"/>
        <w:ind w:left="360"/>
        <w:rPr>
          <w:rFonts w:ascii="Franklin Gothic Book" w:hAnsi="Franklin Gothic Book" w:cs="Arial"/>
          <w:b/>
          <w:color w:val="38939B"/>
          <w:sz w:val="24"/>
        </w:rPr>
      </w:pPr>
    </w:p>
    <w:p w14:paraId="6EF40859" w14:textId="77777777" w:rsidR="00F3514C" w:rsidRPr="00330D57" w:rsidRDefault="00F3514C"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How are Designat</w:t>
      </w:r>
      <w:r w:rsidR="00640DEA" w:rsidRPr="00330D57">
        <w:rPr>
          <w:rFonts w:ascii="Franklin Gothic Book" w:hAnsi="Franklin Gothic Book" w:cs="Arial"/>
          <w:b/>
          <w:color w:val="38939B"/>
          <w:sz w:val="24"/>
        </w:rPr>
        <w:t>ed Border Hospitals identified?</w:t>
      </w:r>
    </w:p>
    <w:p w14:paraId="1CEA0A84" w14:textId="3EF85CCA" w:rsidR="00BF0E17" w:rsidRDefault="00BF0E17" w:rsidP="00110CA9">
      <w:pPr>
        <w:pStyle w:val="ListParagraph"/>
        <w:spacing w:after="120" w:line="240" w:lineRule="auto"/>
        <w:ind w:left="360"/>
        <w:rPr>
          <w:rFonts w:ascii="Franklin Gothic Book" w:hAnsi="Franklin Gothic Book" w:cs="Arial"/>
          <w:sz w:val="20"/>
          <w:szCs w:val="20"/>
        </w:rPr>
      </w:pPr>
      <w:r>
        <w:rPr>
          <w:rFonts w:ascii="Franklin Gothic Book" w:hAnsi="Franklin Gothic Book" w:cs="Arial"/>
          <w:sz w:val="20"/>
          <w:szCs w:val="20"/>
        </w:rPr>
        <w:t xml:space="preserve">With the transition to DRGs complete, there is no longer any effective difference between Designated Border Hospitals and other out-of-state hospitals. No hospitals – in or out of state – have transitional base rates in SFY 2025. The hospital-type policy adjustor is currently only applicable to Idaho hospitals. </w:t>
      </w:r>
    </w:p>
    <w:p w14:paraId="0F0C6DBF" w14:textId="77777777" w:rsidR="00BF0E17" w:rsidRDefault="00BF0E17" w:rsidP="00110CA9">
      <w:pPr>
        <w:pStyle w:val="ListParagraph"/>
        <w:spacing w:after="120" w:line="240" w:lineRule="auto"/>
        <w:ind w:left="360"/>
        <w:rPr>
          <w:rFonts w:ascii="Franklin Gothic Book" w:hAnsi="Franklin Gothic Book" w:cs="Arial"/>
          <w:sz w:val="20"/>
          <w:szCs w:val="20"/>
        </w:rPr>
      </w:pPr>
    </w:p>
    <w:p w14:paraId="22F13B77" w14:textId="2F5A2262" w:rsidR="00640DEA" w:rsidRPr="00330D57" w:rsidRDefault="00BF0E17" w:rsidP="00110CA9">
      <w:pPr>
        <w:pStyle w:val="ListParagraph"/>
        <w:spacing w:after="120" w:line="240" w:lineRule="auto"/>
        <w:ind w:left="360"/>
        <w:rPr>
          <w:rFonts w:ascii="Franklin Gothic Book" w:hAnsi="Franklin Gothic Book" w:cs="Arial"/>
          <w:sz w:val="20"/>
          <w:szCs w:val="20"/>
        </w:rPr>
      </w:pPr>
      <w:r>
        <w:rPr>
          <w:rFonts w:ascii="Franklin Gothic Book" w:hAnsi="Franklin Gothic Book" w:cs="Arial"/>
          <w:sz w:val="20"/>
          <w:szCs w:val="20"/>
        </w:rPr>
        <w:t xml:space="preserve">Designated Border Critical Access Hospitals continue to be exempt from DRG payments. </w:t>
      </w:r>
    </w:p>
    <w:p w14:paraId="1B8304E5" w14:textId="77777777" w:rsidR="00E35271" w:rsidRPr="00330D57" w:rsidRDefault="00E35271" w:rsidP="00110CA9">
      <w:pPr>
        <w:pStyle w:val="ListParagraph"/>
        <w:spacing w:after="120" w:line="240" w:lineRule="auto"/>
        <w:ind w:left="360"/>
        <w:rPr>
          <w:rFonts w:ascii="Franklin Gothic Book" w:hAnsi="Franklin Gothic Book" w:cs="Arial"/>
          <w:sz w:val="20"/>
        </w:rPr>
      </w:pPr>
    </w:p>
    <w:p w14:paraId="0C5F95AB" w14:textId="77777777" w:rsidR="00855924" w:rsidRPr="00330D57" w:rsidRDefault="00855924"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How are base rates set?</w:t>
      </w:r>
    </w:p>
    <w:p w14:paraId="49FD77BE" w14:textId="591492BD" w:rsidR="00DB6BCA" w:rsidRPr="00330D57" w:rsidRDefault="00DB6BCA"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Base rates to calculate DRG payments were set to </w:t>
      </w:r>
      <w:r w:rsidR="00443ABE" w:rsidRPr="00330D57">
        <w:rPr>
          <w:rFonts w:ascii="Franklin Gothic Book" w:hAnsi="Franklin Gothic Book" w:cs="Arial"/>
          <w:sz w:val="20"/>
        </w:rPr>
        <w:t xml:space="preserve">meet the requirements of </w:t>
      </w:r>
      <w:r w:rsidR="00A0036E" w:rsidRPr="00330D57">
        <w:rPr>
          <w:rFonts w:ascii="Franklin Gothic Book" w:hAnsi="Franklin Gothic Book" w:cs="Arial"/>
          <w:sz w:val="20"/>
        </w:rPr>
        <w:t xml:space="preserve">2020 Idaho Legislature </w:t>
      </w:r>
      <w:hyperlink r:id="rId12" w:history="1">
        <w:r w:rsidR="00A0036E" w:rsidRPr="00872EA4">
          <w:rPr>
            <w:rStyle w:val="Hyperlink"/>
            <w:rFonts w:ascii="Franklin Gothic Book" w:hAnsi="Franklin Gothic Book" w:cs="Arial"/>
            <w:sz w:val="20"/>
          </w:rPr>
          <w:t>House Bill 351</w:t>
        </w:r>
      </w:hyperlink>
      <w:r w:rsidR="00443ABE" w:rsidRPr="00330D57">
        <w:rPr>
          <w:rFonts w:ascii="Franklin Gothic Book" w:hAnsi="Franklin Gothic Book" w:cs="Arial"/>
          <w:sz w:val="20"/>
        </w:rPr>
        <w:t xml:space="preserve">, </w:t>
      </w:r>
      <w:r w:rsidRPr="00330D57">
        <w:rPr>
          <w:rFonts w:ascii="Franklin Gothic Book" w:hAnsi="Franklin Gothic Book" w:cs="Arial"/>
          <w:sz w:val="20"/>
        </w:rPr>
        <w:t>achieve specific budget targets</w:t>
      </w:r>
      <w:r w:rsidR="00443ABE" w:rsidRPr="00330D57">
        <w:rPr>
          <w:rFonts w:ascii="Franklin Gothic Book" w:hAnsi="Franklin Gothic Book" w:cs="Arial"/>
          <w:sz w:val="20"/>
        </w:rPr>
        <w:t>,</w:t>
      </w:r>
      <w:r w:rsidRPr="00330D57">
        <w:rPr>
          <w:rFonts w:ascii="Franklin Gothic Book" w:hAnsi="Franklin Gothic Book" w:cs="Arial"/>
          <w:sz w:val="20"/>
        </w:rPr>
        <w:t xml:space="preserve"> and </w:t>
      </w:r>
      <w:r w:rsidR="001A6322" w:rsidRPr="00330D57">
        <w:rPr>
          <w:rFonts w:ascii="Franklin Gothic Book" w:hAnsi="Franklin Gothic Book" w:cs="Arial"/>
          <w:sz w:val="20"/>
        </w:rPr>
        <w:t>accomplish the following</w:t>
      </w:r>
      <w:r w:rsidRPr="00330D57">
        <w:rPr>
          <w:rFonts w:ascii="Franklin Gothic Book" w:hAnsi="Franklin Gothic Book" w:cs="Arial"/>
          <w:sz w:val="20"/>
        </w:rPr>
        <w:t xml:space="preserve"> financial impact</w:t>
      </w:r>
      <w:r w:rsidR="001A6322" w:rsidRPr="00330D57">
        <w:rPr>
          <w:rFonts w:ascii="Franklin Gothic Book" w:hAnsi="Franklin Gothic Book" w:cs="Arial"/>
          <w:sz w:val="20"/>
        </w:rPr>
        <w:t xml:space="preserve"> goals</w:t>
      </w:r>
      <w:r w:rsidRPr="00330D57">
        <w:rPr>
          <w:rFonts w:ascii="Franklin Gothic Book" w:hAnsi="Franklin Gothic Book" w:cs="Arial"/>
          <w:sz w:val="20"/>
        </w:rPr>
        <w:t>:</w:t>
      </w:r>
    </w:p>
    <w:p w14:paraId="1BE79DD3" w14:textId="590C786A" w:rsidR="00DB6BCA" w:rsidRPr="00330D57" w:rsidRDefault="00DB6BCA" w:rsidP="00110CA9">
      <w:pPr>
        <w:pStyle w:val="ListParagraph"/>
        <w:numPr>
          <w:ilvl w:val="0"/>
          <w:numId w:val="4"/>
        </w:numPr>
        <w:spacing w:after="120" w:line="240" w:lineRule="auto"/>
        <w:rPr>
          <w:rFonts w:ascii="Franklin Gothic Book" w:hAnsi="Franklin Gothic Book" w:cs="Arial"/>
          <w:sz w:val="20"/>
        </w:rPr>
      </w:pPr>
      <w:r w:rsidRPr="00330D57">
        <w:rPr>
          <w:rFonts w:ascii="Franklin Gothic Book" w:hAnsi="Franklin Gothic Book" w:cs="Arial"/>
          <w:sz w:val="20"/>
        </w:rPr>
        <w:t xml:space="preserve">Budget neutrality compared to the </w:t>
      </w:r>
      <w:r w:rsidR="00BF0E17">
        <w:rPr>
          <w:rFonts w:ascii="Franklin Gothic Book" w:hAnsi="Franklin Gothic Book" w:cs="Arial"/>
          <w:sz w:val="20"/>
        </w:rPr>
        <w:t>SFY 2023</w:t>
      </w:r>
      <w:r w:rsidRPr="00330D57">
        <w:rPr>
          <w:rFonts w:ascii="Franklin Gothic Book" w:hAnsi="Franklin Gothic Book" w:cs="Arial"/>
          <w:sz w:val="20"/>
        </w:rPr>
        <w:t xml:space="preserve"> dataset</w:t>
      </w:r>
    </w:p>
    <w:p w14:paraId="78663CB7" w14:textId="446F3BC0" w:rsidR="00DB6BCA" w:rsidRPr="00330D57" w:rsidRDefault="005D42D9" w:rsidP="00110CA9">
      <w:pPr>
        <w:pStyle w:val="ListParagraph"/>
        <w:numPr>
          <w:ilvl w:val="0"/>
          <w:numId w:val="4"/>
        </w:numPr>
        <w:spacing w:after="120" w:line="240" w:lineRule="auto"/>
        <w:rPr>
          <w:rFonts w:ascii="Franklin Gothic Book" w:hAnsi="Franklin Gothic Book" w:cs="Arial"/>
          <w:sz w:val="20"/>
        </w:rPr>
      </w:pPr>
      <w:r w:rsidRPr="00BF0E17">
        <w:rPr>
          <w:rFonts w:ascii="Franklin Gothic Book" w:hAnsi="Franklin Gothic Book" w:cs="Arial"/>
          <w:sz w:val="20"/>
        </w:rPr>
        <w:t xml:space="preserve">Payments to </w:t>
      </w:r>
      <w:r w:rsidR="001A6322" w:rsidRPr="00BF0E17">
        <w:rPr>
          <w:rFonts w:ascii="Franklin Gothic Book" w:hAnsi="Franklin Gothic Book" w:cs="Arial"/>
          <w:sz w:val="20"/>
        </w:rPr>
        <w:t>OOS</w:t>
      </w:r>
      <w:r w:rsidR="00DB6BCA" w:rsidRPr="00BF0E17">
        <w:rPr>
          <w:rFonts w:ascii="Franklin Gothic Book" w:hAnsi="Franklin Gothic Book" w:cs="Arial"/>
          <w:sz w:val="20"/>
        </w:rPr>
        <w:t xml:space="preserve"> hospitals in aggregate </w:t>
      </w:r>
      <w:r w:rsidRPr="00BF0E17">
        <w:rPr>
          <w:rFonts w:ascii="Franklin Gothic Book" w:hAnsi="Franklin Gothic Book" w:cs="Arial"/>
          <w:sz w:val="20"/>
        </w:rPr>
        <w:t>at an estimated</w:t>
      </w:r>
      <w:r w:rsidR="00DB6BCA" w:rsidRPr="00BF0E17">
        <w:rPr>
          <w:rFonts w:ascii="Franklin Gothic Book" w:hAnsi="Franklin Gothic Book" w:cs="Arial"/>
          <w:sz w:val="20"/>
        </w:rPr>
        <w:t xml:space="preserve"> 87% of costs</w:t>
      </w:r>
    </w:p>
    <w:p w14:paraId="19445372" w14:textId="77777777" w:rsidR="001A6322" w:rsidRPr="00330D57" w:rsidRDefault="001A6322" w:rsidP="00110CA9">
      <w:pPr>
        <w:pStyle w:val="ListParagraph"/>
        <w:spacing w:after="120" w:line="240" w:lineRule="auto"/>
        <w:ind w:left="360"/>
        <w:rPr>
          <w:rFonts w:ascii="Franklin Gothic Book" w:hAnsi="Franklin Gothic Book" w:cs="Arial"/>
          <w:sz w:val="20"/>
        </w:rPr>
      </w:pPr>
    </w:p>
    <w:p w14:paraId="0E98B672" w14:textId="5FA12496" w:rsidR="00656B50" w:rsidRDefault="00DB6BCA"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To achieve these goals</w:t>
      </w:r>
      <w:r w:rsidR="00CE02D6" w:rsidRPr="00330D57">
        <w:rPr>
          <w:rFonts w:ascii="Franklin Gothic Book" w:hAnsi="Franklin Gothic Book" w:cs="Arial"/>
          <w:sz w:val="20"/>
        </w:rPr>
        <w:t xml:space="preserve"> in conjunction with other components of the DRG system</w:t>
      </w:r>
      <w:r w:rsidRPr="00330D57">
        <w:rPr>
          <w:rFonts w:ascii="Franklin Gothic Book" w:hAnsi="Franklin Gothic Book" w:cs="Arial"/>
          <w:sz w:val="20"/>
        </w:rPr>
        <w:t xml:space="preserve">, the SFY </w:t>
      </w:r>
      <w:r w:rsidR="00BF0E17" w:rsidRPr="00330D57">
        <w:rPr>
          <w:rFonts w:ascii="Franklin Gothic Book" w:hAnsi="Franklin Gothic Book" w:cs="Arial"/>
          <w:sz w:val="20"/>
        </w:rPr>
        <w:t>202</w:t>
      </w:r>
      <w:r w:rsidR="00BF0E17">
        <w:rPr>
          <w:rFonts w:ascii="Franklin Gothic Book" w:hAnsi="Franklin Gothic Book" w:cs="Arial"/>
          <w:sz w:val="20"/>
        </w:rPr>
        <w:t>5</w:t>
      </w:r>
      <w:r w:rsidR="00BF0E17" w:rsidRPr="00330D57">
        <w:rPr>
          <w:rFonts w:ascii="Franklin Gothic Book" w:hAnsi="Franklin Gothic Book" w:cs="Arial"/>
          <w:sz w:val="20"/>
        </w:rPr>
        <w:t xml:space="preserve"> </w:t>
      </w:r>
      <w:r w:rsidRPr="00330D57">
        <w:rPr>
          <w:rFonts w:ascii="Franklin Gothic Book" w:hAnsi="Franklin Gothic Book" w:cs="Arial"/>
          <w:sz w:val="20"/>
        </w:rPr>
        <w:t xml:space="preserve">base rates prior </w:t>
      </w:r>
      <w:r w:rsidR="001A6322" w:rsidRPr="00330D57">
        <w:rPr>
          <w:rFonts w:ascii="Franklin Gothic Book" w:hAnsi="Franklin Gothic Book" w:cs="Arial"/>
          <w:sz w:val="20"/>
        </w:rPr>
        <w:t>policy adjustors</w:t>
      </w:r>
      <w:r w:rsidRPr="00330D57">
        <w:rPr>
          <w:rFonts w:ascii="Franklin Gothic Book" w:hAnsi="Franklin Gothic Book" w:cs="Arial"/>
          <w:sz w:val="20"/>
        </w:rPr>
        <w:t xml:space="preserve"> are $</w:t>
      </w:r>
      <w:r w:rsidR="00BF0E17">
        <w:rPr>
          <w:rFonts w:ascii="Franklin Gothic Book" w:hAnsi="Franklin Gothic Book" w:cs="Arial"/>
          <w:sz w:val="20"/>
        </w:rPr>
        <w:t>11,</w:t>
      </w:r>
      <w:r w:rsidR="003E5EF8">
        <w:rPr>
          <w:rFonts w:ascii="Franklin Gothic Book" w:hAnsi="Franklin Gothic Book" w:cs="Arial"/>
          <w:sz w:val="20"/>
        </w:rPr>
        <w:t>20</w:t>
      </w:r>
      <w:r w:rsidR="00BF0E17">
        <w:rPr>
          <w:rFonts w:ascii="Franklin Gothic Book" w:hAnsi="Franklin Gothic Book" w:cs="Arial"/>
          <w:sz w:val="20"/>
        </w:rPr>
        <w:t>7</w:t>
      </w:r>
      <w:r w:rsidRPr="00330D57">
        <w:rPr>
          <w:rFonts w:ascii="Franklin Gothic Book" w:hAnsi="Franklin Gothic Book" w:cs="Arial"/>
          <w:sz w:val="20"/>
        </w:rPr>
        <w:t xml:space="preserve"> for Idaho hospitals and $</w:t>
      </w:r>
      <w:r w:rsidR="00BF0E17">
        <w:rPr>
          <w:rFonts w:ascii="Franklin Gothic Book" w:hAnsi="Franklin Gothic Book" w:cs="Arial"/>
          <w:sz w:val="20"/>
        </w:rPr>
        <w:t>13,0</w:t>
      </w:r>
      <w:r w:rsidR="003E5EF8">
        <w:rPr>
          <w:rFonts w:ascii="Franklin Gothic Book" w:hAnsi="Franklin Gothic Book" w:cs="Arial"/>
          <w:sz w:val="20"/>
        </w:rPr>
        <w:t>1</w:t>
      </w:r>
      <w:r w:rsidR="00BF0E17">
        <w:rPr>
          <w:rFonts w:ascii="Franklin Gothic Book" w:hAnsi="Franklin Gothic Book" w:cs="Arial"/>
          <w:sz w:val="20"/>
        </w:rPr>
        <w:t>0</w:t>
      </w:r>
      <w:r w:rsidRPr="00330D57">
        <w:rPr>
          <w:rFonts w:ascii="Franklin Gothic Book" w:hAnsi="Franklin Gothic Book" w:cs="Arial"/>
          <w:sz w:val="20"/>
        </w:rPr>
        <w:t xml:space="preserve"> for out-of-state hospitals.</w:t>
      </w:r>
    </w:p>
    <w:p w14:paraId="2DBB6437" w14:textId="2E03FEC0" w:rsidR="005D42D9" w:rsidRDefault="005D42D9">
      <w:pPr>
        <w:rPr>
          <w:rFonts w:ascii="Franklin Gothic Book" w:hAnsi="Franklin Gothic Book" w:cs="Arial"/>
          <w:b/>
          <w:color w:val="38939B"/>
          <w:sz w:val="24"/>
        </w:rPr>
      </w:pPr>
    </w:p>
    <w:p w14:paraId="7D0616C6" w14:textId="25D31438" w:rsidR="00855924" w:rsidRPr="00330D57" w:rsidRDefault="00855924"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lastRenderedPageBreak/>
        <w:t>What are outlier payments, and how are they applied?</w:t>
      </w:r>
    </w:p>
    <w:p w14:paraId="6DA4A3D6" w14:textId="43115A98" w:rsidR="00E413D6" w:rsidRPr="00330D57" w:rsidRDefault="00E413D6"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The outlier policy is intended to increase reimbursement for extraordinarily expensive inpatient claims. Outlier payments are added to the DRG payment.</w:t>
      </w:r>
      <w:r w:rsidR="007D73F6">
        <w:rPr>
          <w:rFonts w:ascii="Franklin Gothic Book" w:hAnsi="Franklin Gothic Book" w:cs="Arial"/>
          <w:sz w:val="20"/>
        </w:rPr>
        <w:t xml:space="preserve"> </w:t>
      </w:r>
      <w:r w:rsidRPr="00330D57">
        <w:rPr>
          <w:rFonts w:ascii="Franklin Gothic Book" w:hAnsi="Franklin Gothic Book" w:cs="Arial"/>
          <w:sz w:val="20"/>
        </w:rPr>
        <w:t>Outlier payment calculations are driven by several variables:</w:t>
      </w:r>
    </w:p>
    <w:p w14:paraId="602E36F6" w14:textId="34927523" w:rsidR="00E413D6" w:rsidRPr="00330D57" w:rsidRDefault="007D73F6" w:rsidP="00110CA9">
      <w:pPr>
        <w:pStyle w:val="ListParagraph"/>
        <w:numPr>
          <w:ilvl w:val="0"/>
          <w:numId w:val="5"/>
        </w:numPr>
        <w:spacing w:after="120" w:line="240" w:lineRule="auto"/>
        <w:rPr>
          <w:rFonts w:ascii="Franklin Gothic Book" w:hAnsi="Franklin Gothic Book" w:cs="Arial"/>
          <w:sz w:val="20"/>
        </w:rPr>
      </w:pPr>
      <w:r>
        <w:rPr>
          <w:rFonts w:ascii="Franklin Gothic Book" w:hAnsi="Franklin Gothic Book" w:cs="Arial"/>
          <w:sz w:val="20"/>
        </w:rPr>
        <w:t>Estimated cost of</w:t>
      </w:r>
      <w:r w:rsidR="00E413D6" w:rsidRPr="00330D57">
        <w:rPr>
          <w:rFonts w:ascii="Franklin Gothic Book" w:hAnsi="Franklin Gothic Book" w:cs="Arial"/>
          <w:sz w:val="20"/>
        </w:rPr>
        <w:t xml:space="preserve"> the claim</w:t>
      </w:r>
    </w:p>
    <w:p w14:paraId="67FF5CB2" w14:textId="520E34FB" w:rsidR="00E413D6" w:rsidRPr="00330D57" w:rsidRDefault="007D73F6" w:rsidP="00110CA9">
      <w:pPr>
        <w:pStyle w:val="ListParagraph"/>
        <w:numPr>
          <w:ilvl w:val="0"/>
          <w:numId w:val="5"/>
        </w:numPr>
        <w:spacing w:after="120" w:line="240" w:lineRule="auto"/>
        <w:rPr>
          <w:rFonts w:ascii="Franklin Gothic Book" w:hAnsi="Franklin Gothic Book" w:cs="Arial"/>
          <w:sz w:val="20"/>
        </w:rPr>
      </w:pPr>
      <w:r>
        <w:rPr>
          <w:rFonts w:ascii="Franklin Gothic Book" w:hAnsi="Franklin Gothic Book" w:cs="Arial"/>
          <w:sz w:val="20"/>
        </w:rPr>
        <w:t xml:space="preserve">Cost outlier threshold ($25,000 for all claims) – this </w:t>
      </w:r>
      <w:r w:rsidR="00E413D6" w:rsidRPr="00330D57">
        <w:rPr>
          <w:rFonts w:ascii="Franklin Gothic Book" w:hAnsi="Franklin Gothic Book" w:cs="Arial"/>
          <w:sz w:val="20"/>
        </w:rPr>
        <w:t>is a value to determine if a claim is eligible for outlier payment</w:t>
      </w:r>
    </w:p>
    <w:p w14:paraId="2E42F18E" w14:textId="7D7A0DD1" w:rsidR="00E413D6" w:rsidRPr="00330D57" w:rsidRDefault="007D73F6" w:rsidP="00110CA9">
      <w:pPr>
        <w:pStyle w:val="ListParagraph"/>
        <w:numPr>
          <w:ilvl w:val="0"/>
          <w:numId w:val="5"/>
        </w:numPr>
        <w:spacing w:after="120" w:line="240" w:lineRule="auto"/>
        <w:rPr>
          <w:rFonts w:ascii="Franklin Gothic Book" w:hAnsi="Franklin Gothic Book" w:cs="Arial"/>
          <w:sz w:val="20"/>
        </w:rPr>
      </w:pPr>
      <w:r>
        <w:rPr>
          <w:rFonts w:ascii="Franklin Gothic Book" w:hAnsi="Franklin Gothic Book" w:cs="Arial"/>
          <w:sz w:val="20"/>
        </w:rPr>
        <w:t xml:space="preserve">Outlier Payment </w:t>
      </w:r>
      <w:r w:rsidR="00E413D6" w:rsidRPr="00330D57">
        <w:rPr>
          <w:rFonts w:ascii="Franklin Gothic Book" w:hAnsi="Franklin Gothic Book" w:cs="Arial"/>
          <w:sz w:val="20"/>
        </w:rPr>
        <w:t>Percentage (</w:t>
      </w:r>
      <w:r>
        <w:rPr>
          <w:rFonts w:ascii="Franklin Gothic Book" w:hAnsi="Franklin Gothic Book" w:cs="Arial"/>
          <w:sz w:val="20"/>
        </w:rPr>
        <w:t>60</w:t>
      </w:r>
      <w:r w:rsidR="00E413D6" w:rsidRPr="00330D57">
        <w:rPr>
          <w:rFonts w:ascii="Franklin Gothic Book" w:hAnsi="Franklin Gothic Book" w:cs="Arial"/>
          <w:sz w:val="20"/>
        </w:rPr>
        <w:t>% for all claims)</w:t>
      </w:r>
      <w:r>
        <w:rPr>
          <w:rFonts w:ascii="Franklin Gothic Book" w:hAnsi="Franklin Gothic Book" w:cs="Arial"/>
          <w:sz w:val="20"/>
        </w:rPr>
        <w:t xml:space="preserve"> – this </w:t>
      </w:r>
      <w:r w:rsidR="00E413D6" w:rsidRPr="00330D57">
        <w:rPr>
          <w:rFonts w:ascii="Franklin Gothic Book" w:hAnsi="Franklin Gothic Book" w:cs="Arial"/>
          <w:sz w:val="20"/>
        </w:rPr>
        <w:t>is a value used to calculate the amount of the outlier payment</w:t>
      </w:r>
    </w:p>
    <w:p w14:paraId="3E0FDC51" w14:textId="77777777" w:rsidR="00F96CAA" w:rsidRPr="00330D57" w:rsidRDefault="00F96CAA" w:rsidP="00110CA9">
      <w:pPr>
        <w:pStyle w:val="ListParagraph"/>
        <w:spacing w:after="120" w:line="240" w:lineRule="auto"/>
        <w:ind w:left="360"/>
        <w:rPr>
          <w:rFonts w:ascii="Franklin Gothic Book" w:hAnsi="Franklin Gothic Book" w:cs="Arial"/>
          <w:sz w:val="20"/>
        </w:rPr>
      </w:pPr>
    </w:p>
    <w:p w14:paraId="5939A1E9" w14:textId="77777777" w:rsidR="00E413D6" w:rsidRPr="00330D57" w:rsidRDefault="00E413D6"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The outlier calculations follow a specific order as follows:</w:t>
      </w:r>
    </w:p>
    <w:p w14:paraId="130552DF" w14:textId="77777777" w:rsidR="00E413D6" w:rsidRPr="00330D57" w:rsidRDefault="00E413D6" w:rsidP="00110CA9">
      <w:pPr>
        <w:pStyle w:val="ListParagraph"/>
        <w:spacing w:after="120" w:line="240" w:lineRule="auto"/>
        <w:ind w:left="360"/>
        <w:jc w:val="center"/>
        <w:rPr>
          <w:rFonts w:ascii="Franklin Gothic Book" w:hAnsi="Franklin Gothic Book" w:cs="Arial"/>
          <w:b/>
          <w:sz w:val="20"/>
        </w:rPr>
      </w:pPr>
    </w:p>
    <w:p w14:paraId="4E48E5B7" w14:textId="4E70FDDE" w:rsidR="00E413D6" w:rsidRPr="00330D57" w:rsidRDefault="007D73F6" w:rsidP="00110CA9">
      <w:pPr>
        <w:pStyle w:val="ListParagraph"/>
        <w:spacing w:after="120" w:line="240" w:lineRule="auto"/>
        <w:ind w:left="360"/>
        <w:jc w:val="center"/>
        <w:rPr>
          <w:rFonts w:ascii="Franklin Gothic Book" w:hAnsi="Franklin Gothic Book" w:cs="Arial"/>
          <w:b/>
          <w:sz w:val="20"/>
        </w:rPr>
      </w:pPr>
      <w:r>
        <w:rPr>
          <w:rFonts w:ascii="Franklin Gothic Book" w:hAnsi="Franklin Gothic Book" w:cs="Arial"/>
          <w:b/>
          <w:sz w:val="20"/>
        </w:rPr>
        <w:t>Estimate Cost</w:t>
      </w:r>
    </w:p>
    <w:p w14:paraId="5DA179DE" w14:textId="77777777" w:rsidR="00E413D6" w:rsidRPr="00330D57" w:rsidRDefault="00E413D6" w:rsidP="00110CA9">
      <w:pPr>
        <w:pStyle w:val="ListParagraph"/>
        <w:spacing w:after="120" w:line="240" w:lineRule="auto"/>
        <w:ind w:left="360"/>
        <w:jc w:val="center"/>
        <w:rPr>
          <w:rFonts w:ascii="Franklin Gothic Book" w:hAnsi="Franklin Gothic Book" w:cs="Arial"/>
          <w:b/>
          <w:sz w:val="20"/>
        </w:rPr>
      </w:pPr>
    </w:p>
    <w:p w14:paraId="16CD1211" w14:textId="702AEADA" w:rsidR="00E413D6" w:rsidRPr="00330D57" w:rsidRDefault="007D73F6" w:rsidP="00110CA9">
      <w:pPr>
        <w:pStyle w:val="ListParagraph"/>
        <w:spacing w:after="120" w:line="240" w:lineRule="auto"/>
        <w:ind w:left="360"/>
        <w:jc w:val="center"/>
        <w:rPr>
          <w:rFonts w:ascii="Franklin Gothic Book" w:hAnsi="Franklin Gothic Book" w:cs="Arial"/>
          <w:b/>
          <w:i/>
          <w:color w:val="F8971D"/>
          <w:sz w:val="20"/>
        </w:rPr>
      </w:pPr>
      <w:r>
        <w:rPr>
          <w:rFonts w:ascii="Franklin Gothic Book" w:hAnsi="Franklin Gothic Book" w:cs="Arial"/>
          <w:b/>
          <w:i/>
          <w:color w:val="F8971D"/>
          <w:sz w:val="20"/>
        </w:rPr>
        <w:t>Charges x Hospital-Specific CCR (Idaho average for OOS)</w:t>
      </w:r>
    </w:p>
    <w:p w14:paraId="543AD68A" w14:textId="77777777" w:rsidR="00E413D6" w:rsidRPr="00330D57" w:rsidRDefault="00E413D6" w:rsidP="00110CA9">
      <w:pPr>
        <w:pStyle w:val="ListParagraph"/>
        <w:spacing w:after="120" w:line="240" w:lineRule="auto"/>
        <w:ind w:left="360"/>
        <w:jc w:val="center"/>
        <w:rPr>
          <w:rFonts w:ascii="Franklin Gothic Book" w:hAnsi="Franklin Gothic Book" w:cs="Arial"/>
          <w:b/>
          <w:sz w:val="20"/>
        </w:rPr>
      </w:pPr>
    </w:p>
    <w:p w14:paraId="70454718" w14:textId="398098F1" w:rsidR="00E413D6" w:rsidRPr="00330D57" w:rsidRDefault="007D73F6" w:rsidP="00110CA9">
      <w:pPr>
        <w:pStyle w:val="ListParagraph"/>
        <w:spacing w:after="120" w:line="240" w:lineRule="auto"/>
        <w:ind w:left="360"/>
        <w:jc w:val="center"/>
        <w:rPr>
          <w:rFonts w:ascii="Franklin Gothic Book" w:hAnsi="Franklin Gothic Book" w:cs="Arial"/>
          <w:b/>
          <w:sz w:val="20"/>
        </w:rPr>
      </w:pPr>
      <w:r>
        <w:rPr>
          <w:rFonts w:ascii="Franklin Gothic Book" w:hAnsi="Franklin Gothic Book" w:cs="Arial"/>
          <w:b/>
          <w:sz w:val="20"/>
        </w:rPr>
        <w:t>Estimate Gain/Loss</w:t>
      </w:r>
    </w:p>
    <w:p w14:paraId="2CC55131" w14:textId="77777777" w:rsidR="00E413D6" w:rsidRPr="00330D57" w:rsidRDefault="00E413D6" w:rsidP="00110CA9">
      <w:pPr>
        <w:pStyle w:val="ListParagraph"/>
        <w:spacing w:after="120" w:line="240" w:lineRule="auto"/>
        <w:ind w:left="360"/>
        <w:jc w:val="center"/>
        <w:rPr>
          <w:rFonts w:ascii="Franklin Gothic Book" w:hAnsi="Franklin Gothic Book" w:cs="Arial"/>
          <w:b/>
          <w:sz w:val="20"/>
        </w:rPr>
      </w:pPr>
    </w:p>
    <w:p w14:paraId="0D5CA669" w14:textId="67CA2C9C" w:rsidR="00E413D6" w:rsidRPr="00330D57" w:rsidRDefault="007D73F6" w:rsidP="00110CA9">
      <w:pPr>
        <w:pStyle w:val="ListParagraph"/>
        <w:spacing w:after="120" w:line="240" w:lineRule="auto"/>
        <w:ind w:left="360"/>
        <w:jc w:val="center"/>
        <w:rPr>
          <w:rFonts w:ascii="Franklin Gothic Book" w:hAnsi="Franklin Gothic Book" w:cs="Arial"/>
          <w:b/>
          <w:i/>
          <w:color w:val="F8971D"/>
          <w:sz w:val="20"/>
        </w:rPr>
      </w:pPr>
      <w:r>
        <w:rPr>
          <w:rFonts w:ascii="Franklin Gothic Book" w:hAnsi="Franklin Gothic Book" w:cs="Arial"/>
          <w:b/>
          <w:i/>
          <w:color w:val="F8971D"/>
          <w:sz w:val="20"/>
        </w:rPr>
        <w:t>Estimated Cost – Base DRG Payment (after transfer adjustment if applicable)</w:t>
      </w:r>
    </w:p>
    <w:p w14:paraId="3668D453" w14:textId="77777777" w:rsidR="00E413D6" w:rsidRPr="00330D57" w:rsidRDefault="00E413D6" w:rsidP="00110CA9">
      <w:pPr>
        <w:pStyle w:val="ListParagraph"/>
        <w:spacing w:after="120" w:line="240" w:lineRule="auto"/>
        <w:ind w:left="360"/>
        <w:jc w:val="center"/>
        <w:rPr>
          <w:rFonts w:ascii="Franklin Gothic Book" w:hAnsi="Franklin Gothic Book" w:cs="Arial"/>
          <w:b/>
          <w:sz w:val="20"/>
        </w:rPr>
      </w:pPr>
    </w:p>
    <w:p w14:paraId="6EA6473F" w14:textId="521E4D4A" w:rsidR="00E413D6" w:rsidRPr="00330D57" w:rsidRDefault="007D73F6" w:rsidP="00110CA9">
      <w:pPr>
        <w:pStyle w:val="ListParagraph"/>
        <w:spacing w:after="120" w:line="240" w:lineRule="auto"/>
        <w:ind w:left="360"/>
        <w:jc w:val="center"/>
        <w:rPr>
          <w:rFonts w:ascii="Franklin Gothic Book" w:hAnsi="Franklin Gothic Book" w:cs="Arial"/>
          <w:b/>
          <w:sz w:val="20"/>
        </w:rPr>
      </w:pPr>
      <w:r>
        <w:rPr>
          <w:rFonts w:ascii="Franklin Gothic Book" w:hAnsi="Franklin Gothic Book" w:cs="Arial"/>
          <w:b/>
          <w:sz w:val="20"/>
        </w:rPr>
        <w:t>Determine Eligibility for Outlier Payment</w:t>
      </w:r>
    </w:p>
    <w:p w14:paraId="7C082695" w14:textId="77777777" w:rsidR="00E413D6" w:rsidRPr="00330D57" w:rsidRDefault="00E413D6" w:rsidP="00110CA9">
      <w:pPr>
        <w:pStyle w:val="ListParagraph"/>
        <w:spacing w:after="120" w:line="240" w:lineRule="auto"/>
        <w:ind w:left="360"/>
        <w:jc w:val="center"/>
        <w:rPr>
          <w:rFonts w:ascii="Franklin Gothic Book" w:hAnsi="Franklin Gothic Book" w:cs="Arial"/>
          <w:b/>
          <w:sz w:val="20"/>
        </w:rPr>
      </w:pPr>
    </w:p>
    <w:p w14:paraId="5FBD1524" w14:textId="2C354B52" w:rsidR="00E413D6" w:rsidRDefault="007D73F6" w:rsidP="00110CA9">
      <w:pPr>
        <w:pStyle w:val="ListParagraph"/>
        <w:spacing w:after="120" w:line="240" w:lineRule="auto"/>
        <w:ind w:left="360"/>
        <w:jc w:val="center"/>
        <w:rPr>
          <w:rFonts w:ascii="Franklin Gothic Book" w:hAnsi="Franklin Gothic Book" w:cs="Arial"/>
          <w:b/>
          <w:i/>
          <w:color w:val="F8971D"/>
          <w:sz w:val="20"/>
        </w:rPr>
      </w:pPr>
      <w:r>
        <w:rPr>
          <w:rFonts w:ascii="Franklin Gothic Book" w:hAnsi="Franklin Gothic Book" w:cs="Arial"/>
          <w:b/>
          <w:i/>
          <w:color w:val="F8971D"/>
          <w:sz w:val="20"/>
        </w:rPr>
        <w:t>If Estimated Loss exceeds outlier threshold ($25,000), claim qualifies for outlier payment</w:t>
      </w:r>
    </w:p>
    <w:p w14:paraId="16989D63" w14:textId="77777777" w:rsidR="007D73F6" w:rsidRDefault="007D73F6" w:rsidP="007D73F6">
      <w:pPr>
        <w:pStyle w:val="ListParagraph"/>
        <w:spacing w:after="120" w:line="240" w:lineRule="auto"/>
        <w:ind w:left="360"/>
        <w:jc w:val="center"/>
        <w:rPr>
          <w:rFonts w:ascii="Franklin Gothic Book" w:hAnsi="Franklin Gothic Book" w:cs="Arial"/>
          <w:b/>
          <w:sz w:val="20"/>
        </w:rPr>
      </w:pPr>
    </w:p>
    <w:p w14:paraId="5E055B61" w14:textId="10FE3837" w:rsidR="007D73F6" w:rsidRPr="00330D57" w:rsidRDefault="007D73F6" w:rsidP="007D73F6">
      <w:pPr>
        <w:pStyle w:val="ListParagraph"/>
        <w:spacing w:after="120" w:line="240" w:lineRule="auto"/>
        <w:ind w:left="360"/>
        <w:jc w:val="center"/>
        <w:rPr>
          <w:rFonts w:ascii="Franklin Gothic Book" w:hAnsi="Franklin Gothic Book" w:cs="Arial"/>
          <w:b/>
          <w:sz w:val="20"/>
        </w:rPr>
      </w:pPr>
      <w:r>
        <w:rPr>
          <w:rFonts w:ascii="Franklin Gothic Book" w:hAnsi="Franklin Gothic Book" w:cs="Arial"/>
          <w:b/>
          <w:sz w:val="20"/>
        </w:rPr>
        <w:t>Calculate Outlier Payment</w:t>
      </w:r>
    </w:p>
    <w:p w14:paraId="0E8F73A7" w14:textId="77777777" w:rsidR="007D73F6" w:rsidRPr="00330D57" w:rsidRDefault="007D73F6" w:rsidP="007D73F6">
      <w:pPr>
        <w:pStyle w:val="ListParagraph"/>
        <w:spacing w:after="120" w:line="240" w:lineRule="auto"/>
        <w:ind w:left="360"/>
        <w:jc w:val="center"/>
        <w:rPr>
          <w:rFonts w:ascii="Franklin Gothic Book" w:hAnsi="Franklin Gothic Book" w:cs="Arial"/>
          <w:b/>
          <w:sz w:val="20"/>
        </w:rPr>
      </w:pPr>
    </w:p>
    <w:p w14:paraId="30549839" w14:textId="7C45EF06" w:rsidR="007D73F6" w:rsidRPr="00330D57" w:rsidRDefault="007D73F6" w:rsidP="007D73F6">
      <w:pPr>
        <w:pStyle w:val="ListParagraph"/>
        <w:spacing w:after="120" w:line="240" w:lineRule="auto"/>
        <w:ind w:left="360"/>
        <w:jc w:val="center"/>
        <w:rPr>
          <w:rFonts w:ascii="Franklin Gothic Book" w:hAnsi="Franklin Gothic Book" w:cs="Arial"/>
          <w:b/>
          <w:i/>
          <w:color w:val="F8971D"/>
          <w:sz w:val="20"/>
        </w:rPr>
      </w:pPr>
      <w:r>
        <w:rPr>
          <w:rFonts w:ascii="Franklin Gothic Book" w:hAnsi="Franklin Gothic Book" w:cs="Arial"/>
          <w:b/>
          <w:i/>
          <w:color w:val="F8971D"/>
          <w:sz w:val="20"/>
        </w:rPr>
        <w:t>(Estimated loss – outlier threshold [$25,000]) x Outlier payment percentage (60%)</w:t>
      </w:r>
    </w:p>
    <w:p w14:paraId="0EEA0E07" w14:textId="77777777" w:rsidR="007D73F6" w:rsidRPr="00330D57" w:rsidRDefault="007D73F6" w:rsidP="00110CA9">
      <w:pPr>
        <w:pStyle w:val="ListParagraph"/>
        <w:spacing w:after="120" w:line="240" w:lineRule="auto"/>
        <w:ind w:left="360"/>
        <w:jc w:val="center"/>
        <w:rPr>
          <w:rFonts w:ascii="Franklin Gothic Book" w:hAnsi="Franklin Gothic Book" w:cs="Arial"/>
          <w:b/>
          <w:i/>
          <w:color w:val="F8971D"/>
          <w:sz w:val="20"/>
        </w:rPr>
      </w:pPr>
    </w:p>
    <w:p w14:paraId="47104840" w14:textId="77777777" w:rsidR="00401331" w:rsidRPr="00330D57" w:rsidRDefault="00401331" w:rsidP="00110CA9">
      <w:pPr>
        <w:pStyle w:val="ListParagraph"/>
        <w:spacing w:after="120" w:line="240" w:lineRule="auto"/>
        <w:ind w:left="360"/>
        <w:jc w:val="center"/>
        <w:rPr>
          <w:rFonts w:ascii="Franklin Gothic Book" w:hAnsi="Franklin Gothic Book" w:cs="Arial"/>
          <w:b/>
          <w:i/>
          <w:color w:val="F8971D"/>
          <w:sz w:val="20"/>
        </w:rPr>
      </w:pPr>
    </w:p>
    <w:p w14:paraId="19B255BB" w14:textId="1694BF2D" w:rsidR="00855924" w:rsidRPr="00330D57" w:rsidRDefault="00855924"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If a patient is transferred, </w:t>
      </w:r>
      <w:r w:rsidR="00F96CAA" w:rsidRPr="00330D57">
        <w:rPr>
          <w:rFonts w:ascii="Franklin Gothic Book" w:hAnsi="Franklin Gothic Book" w:cs="Arial"/>
          <w:b/>
          <w:color w:val="38939B"/>
          <w:sz w:val="24"/>
        </w:rPr>
        <w:t>does a hospital receive</w:t>
      </w:r>
      <w:r w:rsidRPr="00330D57">
        <w:rPr>
          <w:rFonts w:ascii="Franklin Gothic Book" w:hAnsi="Franklin Gothic Book" w:cs="Arial"/>
          <w:b/>
          <w:color w:val="38939B"/>
          <w:sz w:val="24"/>
        </w:rPr>
        <w:t xml:space="preserve"> the full DRG payment?</w:t>
      </w:r>
    </w:p>
    <w:p w14:paraId="698F959D" w14:textId="05B52660" w:rsidR="00CD751E" w:rsidRPr="00330D57" w:rsidRDefault="00CD751E"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Transfer payment adjustments occur when a patient is transferred to another hospital and the actual length of stay is less than the national average length of stay as calculated by </w:t>
      </w:r>
      <w:proofErr w:type="spellStart"/>
      <w:r w:rsidR="001723CE">
        <w:rPr>
          <w:rFonts w:ascii="Franklin Gothic Book" w:hAnsi="Franklin Gothic Book" w:cs="Arial"/>
          <w:sz w:val="20"/>
        </w:rPr>
        <w:t>Solventum</w:t>
      </w:r>
      <w:proofErr w:type="spellEnd"/>
      <w:r w:rsidRPr="00330D57">
        <w:rPr>
          <w:rFonts w:ascii="Franklin Gothic Book" w:hAnsi="Franklin Gothic Book" w:cs="Arial"/>
          <w:sz w:val="20"/>
        </w:rPr>
        <w:t xml:space="preserve"> in </w:t>
      </w:r>
      <w:proofErr w:type="spellStart"/>
      <w:r w:rsidR="001723CE">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V.</w:t>
      </w:r>
      <w:r w:rsidR="00656B50">
        <w:rPr>
          <w:rFonts w:ascii="Franklin Gothic Book" w:hAnsi="Franklin Gothic Book" w:cs="Arial"/>
          <w:sz w:val="20"/>
        </w:rPr>
        <w:t>41</w:t>
      </w:r>
      <w:r w:rsidRPr="00330D57">
        <w:rPr>
          <w:rFonts w:ascii="Franklin Gothic Book" w:hAnsi="Franklin Gothic Book" w:cs="Arial"/>
          <w:sz w:val="20"/>
        </w:rPr>
        <w:t xml:space="preserve">. The prorated </w:t>
      </w:r>
      <w:r w:rsidR="0081309A" w:rsidRPr="00330D57">
        <w:rPr>
          <w:rFonts w:ascii="Franklin Gothic Book" w:hAnsi="Franklin Gothic Book" w:cs="Arial"/>
          <w:sz w:val="20"/>
        </w:rPr>
        <w:t xml:space="preserve">transfer </w:t>
      </w:r>
      <w:r w:rsidRPr="00330D57">
        <w:rPr>
          <w:rFonts w:ascii="Franklin Gothic Book" w:hAnsi="Franklin Gothic Book" w:cs="Arial"/>
          <w:sz w:val="20"/>
        </w:rPr>
        <w:t xml:space="preserve">payment </w:t>
      </w:r>
      <w:r w:rsidR="0081309A" w:rsidRPr="00330D57">
        <w:rPr>
          <w:rFonts w:ascii="Franklin Gothic Book" w:hAnsi="Franklin Gothic Book" w:cs="Arial"/>
          <w:sz w:val="20"/>
        </w:rPr>
        <w:t xml:space="preserve">adjustment </w:t>
      </w:r>
      <w:r w:rsidRPr="00330D57">
        <w:rPr>
          <w:rFonts w:ascii="Franklin Gothic Book" w:hAnsi="Franklin Gothic Book" w:cs="Arial"/>
          <w:sz w:val="20"/>
        </w:rPr>
        <w:t>is based on the percentage of days the patient was in the hospital compared to the</w:t>
      </w:r>
      <w:r w:rsidR="0081309A" w:rsidRPr="00330D57">
        <w:rPr>
          <w:rFonts w:ascii="Franklin Gothic Book" w:hAnsi="Franklin Gothic Book" w:cs="Arial"/>
          <w:sz w:val="20"/>
        </w:rPr>
        <w:t xml:space="preserve"> </w:t>
      </w:r>
      <w:proofErr w:type="spellStart"/>
      <w:r w:rsidR="001723CE">
        <w:rPr>
          <w:rFonts w:ascii="Franklin Gothic Book" w:hAnsi="Franklin Gothic Book" w:cs="Arial"/>
          <w:sz w:val="20"/>
        </w:rPr>
        <w:t>Solventum</w:t>
      </w:r>
      <w:proofErr w:type="spellEnd"/>
      <w:r w:rsidRPr="00330D57">
        <w:rPr>
          <w:rFonts w:ascii="Franklin Gothic Book" w:hAnsi="Franklin Gothic Book" w:cs="Arial"/>
          <w:sz w:val="20"/>
        </w:rPr>
        <w:t xml:space="preserve"> average. In cases where a patient is transferred, the transferring hospital may receive a transfer adjustment</w:t>
      </w:r>
      <w:r w:rsidR="0081309A" w:rsidRPr="00330D57">
        <w:rPr>
          <w:rFonts w:ascii="Franklin Gothic Book" w:hAnsi="Franklin Gothic Book" w:cs="Arial"/>
          <w:sz w:val="20"/>
        </w:rPr>
        <w:t>, and</w:t>
      </w:r>
      <w:r w:rsidRPr="00330D57">
        <w:rPr>
          <w:rFonts w:ascii="Franklin Gothic Book" w:hAnsi="Franklin Gothic Book" w:cs="Arial"/>
          <w:sz w:val="20"/>
        </w:rPr>
        <w:t xml:space="preserve"> the receiving hospital would receive full DRG payment (unless the patient is transferred again). Claims that receive a transfer adjustment are not eligible to receive outlier payments.</w:t>
      </w:r>
    </w:p>
    <w:p w14:paraId="58A2A19F" w14:textId="77777777" w:rsidR="0081309A" w:rsidRPr="00330D57" w:rsidRDefault="0081309A" w:rsidP="00110CA9">
      <w:pPr>
        <w:pStyle w:val="ListParagraph"/>
        <w:spacing w:after="120" w:line="240" w:lineRule="auto"/>
        <w:ind w:left="360"/>
        <w:rPr>
          <w:rFonts w:ascii="Franklin Gothic Book" w:hAnsi="Franklin Gothic Book" w:cs="Arial"/>
          <w:sz w:val="20"/>
        </w:rPr>
      </w:pPr>
    </w:p>
    <w:p w14:paraId="446B8818" w14:textId="0C97D744" w:rsidR="00CD751E" w:rsidRPr="00330D57" w:rsidRDefault="001723CE" w:rsidP="00110CA9">
      <w:pPr>
        <w:pStyle w:val="ListParagraph"/>
        <w:spacing w:after="120" w:line="240" w:lineRule="auto"/>
        <w:ind w:left="360"/>
        <w:rPr>
          <w:rFonts w:ascii="Franklin Gothic Book" w:hAnsi="Franklin Gothic Book" w:cs="Arial"/>
          <w:sz w:val="20"/>
        </w:rPr>
      </w:pPr>
      <w:proofErr w:type="spellStart"/>
      <w:r>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00CD751E" w:rsidRPr="00330D57">
        <w:rPr>
          <w:rFonts w:ascii="Franklin Gothic Book" w:hAnsi="Franklin Gothic Book" w:cs="Arial"/>
          <w:sz w:val="20"/>
        </w:rPr>
        <w:t xml:space="preserve">s 580 and 581 are excluded from the transfer adjustment policy, as these </w:t>
      </w:r>
      <w:proofErr w:type="spellStart"/>
      <w:r>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00CD751E" w:rsidRPr="00330D57">
        <w:rPr>
          <w:rFonts w:ascii="Franklin Gothic Book" w:hAnsi="Franklin Gothic Book" w:cs="Arial"/>
          <w:sz w:val="20"/>
        </w:rPr>
        <w:t>s are specifically for neonates that are transferred (</w:t>
      </w:r>
      <w:r w:rsidR="0081309A" w:rsidRPr="00330D57">
        <w:rPr>
          <w:rFonts w:ascii="Franklin Gothic Book" w:hAnsi="Franklin Gothic Book" w:cs="Arial"/>
          <w:sz w:val="20"/>
        </w:rPr>
        <w:t>t</w:t>
      </w:r>
      <w:r w:rsidR="00CD751E" w:rsidRPr="00330D57">
        <w:rPr>
          <w:rFonts w:ascii="Franklin Gothic Book" w:hAnsi="Franklin Gothic Book" w:cs="Arial"/>
          <w:sz w:val="20"/>
        </w:rPr>
        <w:t xml:space="preserve">he transfer is already considered in the relative weight.) </w:t>
      </w:r>
    </w:p>
    <w:p w14:paraId="0E7509DB" w14:textId="77777777" w:rsidR="00656B50" w:rsidRDefault="00656B50">
      <w:pPr>
        <w:rPr>
          <w:rFonts w:ascii="Franklin Gothic Book" w:hAnsi="Franklin Gothic Book" w:cs="Arial"/>
          <w:sz w:val="20"/>
        </w:rPr>
      </w:pPr>
      <w:r>
        <w:rPr>
          <w:rFonts w:ascii="Franklin Gothic Book" w:hAnsi="Franklin Gothic Book" w:cs="Arial"/>
          <w:sz w:val="20"/>
        </w:rPr>
        <w:br w:type="page"/>
      </w:r>
    </w:p>
    <w:p w14:paraId="6C50D54F" w14:textId="07060EDE" w:rsidR="00CD751E" w:rsidRPr="00330D57" w:rsidRDefault="00CD751E"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lastRenderedPageBreak/>
        <w:t xml:space="preserve">Transfer cases are identified by the </w:t>
      </w:r>
      <w:r w:rsidR="0081309A" w:rsidRPr="00330D57">
        <w:rPr>
          <w:rFonts w:ascii="Franklin Gothic Book" w:hAnsi="Franklin Gothic Book" w:cs="Arial"/>
          <w:sz w:val="20"/>
        </w:rPr>
        <w:t xml:space="preserve">following </w:t>
      </w:r>
      <w:r w:rsidRPr="00330D57">
        <w:rPr>
          <w:rFonts w:ascii="Franklin Gothic Book" w:hAnsi="Franklin Gothic Book" w:cs="Arial"/>
          <w:sz w:val="20"/>
        </w:rPr>
        <w:t>discharge status code on the claim:</w:t>
      </w:r>
    </w:p>
    <w:tbl>
      <w:tblPr>
        <w:tblW w:w="9540" w:type="dxa"/>
        <w:jc w:val="center"/>
        <w:tblCellMar>
          <w:top w:w="43" w:type="dxa"/>
          <w:left w:w="43" w:type="dxa"/>
          <w:bottom w:w="43" w:type="dxa"/>
          <w:right w:w="43" w:type="dxa"/>
        </w:tblCellMar>
        <w:tblLook w:val="04A0" w:firstRow="1" w:lastRow="0" w:firstColumn="1" w:lastColumn="0" w:noHBand="0" w:noVBand="1"/>
      </w:tblPr>
      <w:tblGrid>
        <w:gridCol w:w="715"/>
        <w:gridCol w:w="1115"/>
        <w:gridCol w:w="7710"/>
      </w:tblGrid>
      <w:tr w:rsidR="00CD751E" w:rsidRPr="000924A9" w14:paraId="471BC5CE" w14:textId="77777777" w:rsidTr="00875C42">
        <w:trPr>
          <w:trHeight w:val="288"/>
          <w:jc w:val="center"/>
        </w:trPr>
        <w:tc>
          <w:tcPr>
            <w:tcW w:w="9540" w:type="dxa"/>
            <w:gridSpan w:val="3"/>
            <w:tcBorders>
              <w:top w:val="single" w:sz="4" w:space="0" w:color="auto"/>
              <w:left w:val="single" w:sz="4" w:space="0" w:color="auto"/>
              <w:bottom w:val="single" w:sz="4" w:space="0" w:color="auto"/>
              <w:right w:val="single" w:sz="4" w:space="0" w:color="000000"/>
            </w:tcBorders>
            <w:shd w:val="clear" w:color="000000" w:fill="9CC5CA"/>
            <w:noWrap/>
            <w:vAlign w:val="center"/>
            <w:hideMark/>
          </w:tcPr>
          <w:p w14:paraId="74143AAC" w14:textId="5B335833" w:rsidR="00CD751E" w:rsidRPr="000924A9" w:rsidRDefault="00CD751E">
            <w:pPr>
              <w:spacing w:after="120" w:line="240" w:lineRule="auto"/>
              <w:jc w:val="center"/>
              <w:rPr>
                <w:rFonts w:ascii="Franklin Gothic Book" w:eastAsia="Times New Roman" w:hAnsi="Franklin Gothic Book" w:cs="Arial"/>
                <w:b/>
                <w:bCs/>
                <w:color w:val="000000"/>
                <w:sz w:val="18"/>
                <w:szCs w:val="16"/>
              </w:rPr>
            </w:pPr>
            <w:r w:rsidRPr="000924A9">
              <w:rPr>
                <w:rFonts w:ascii="Franklin Gothic Book" w:eastAsia="Times New Roman" w:hAnsi="Franklin Gothic Book" w:cs="Arial"/>
                <w:b/>
                <w:bCs/>
                <w:color w:val="000000"/>
                <w:sz w:val="18"/>
                <w:szCs w:val="16"/>
              </w:rPr>
              <w:t xml:space="preserve">Discharge Status Codes for Transfer Adjustment in SFY </w:t>
            </w:r>
            <w:r w:rsidR="00656B50" w:rsidRPr="000924A9">
              <w:rPr>
                <w:rFonts w:ascii="Franklin Gothic Book" w:eastAsia="Times New Roman" w:hAnsi="Franklin Gothic Book" w:cs="Arial"/>
                <w:b/>
                <w:bCs/>
                <w:color w:val="000000"/>
                <w:sz w:val="18"/>
                <w:szCs w:val="16"/>
              </w:rPr>
              <w:t>2025</w:t>
            </w:r>
          </w:p>
        </w:tc>
      </w:tr>
      <w:tr w:rsidR="00CD751E" w:rsidRPr="000924A9" w14:paraId="4D37559A" w14:textId="77777777" w:rsidTr="00875C42">
        <w:trPr>
          <w:trHeight w:val="288"/>
          <w:jc w:val="center"/>
        </w:trPr>
        <w:tc>
          <w:tcPr>
            <w:tcW w:w="715" w:type="dxa"/>
            <w:tcBorders>
              <w:top w:val="nil"/>
              <w:left w:val="single" w:sz="4" w:space="0" w:color="auto"/>
              <w:bottom w:val="nil"/>
              <w:right w:val="nil"/>
            </w:tcBorders>
            <w:shd w:val="clear" w:color="000000" w:fill="7AC142"/>
            <w:noWrap/>
            <w:vAlign w:val="center"/>
            <w:hideMark/>
          </w:tcPr>
          <w:p w14:paraId="0F804A47" w14:textId="77777777" w:rsidR="00CD751E" w:rsidRPr="000924A9" w:rsidRDefault="00CD751E" w:rsidP="00110CA9">
            <w:pPr>
              <w:spacing w:after="120" w:line="240" w:lineRule="auto"/>
              <w:jc w:val="center"/>
              <w:rPr>
                <w:rFonts w:ascii="Franklin Gothic Book" w:eastAsia="Times New Roman" w:hAnsi="Franklin Gothic Book" w:cs="Arial"/>
                <w:b/>
                <w:bCs/>
                <w:color w:val="000000"/>
                <w:sz w:val="18"/>
                <w:szCs w:val="16"/>
              </w:rPr>
            </w:pPr>
            <w:r w:rsidRPr="000924A9">
              <w:rPr>
                <w:rFonts w:ascii="Franklin Gothic Book" w:eastAsia="Times New Roman" w:hAnsi="Franklin Gothic Book" w:cs="Arial"/>
                <w:b/>
                <w:bCs/>
                <w:color w:val="000000"/>
                <w:sz w:val="18"/>
                <w:szCs w:val="16"/>
              </w:rPr>
              <w:t>Code</w:t>
            </w:r>
          </w:p>
        </w:tc>
        <w:tc>
          <w:tcPr>
            <w:tcW w:w="1115" w:type="dxa"/>
            <w:tcBorders>
              <w:top w:val="nil"/>
              <w:left w:val="nil"/>
              <w:bottom w:val="single" w:sz="4" w:space="0" w:color="auto"/>
              <w:right w:val="nil"/>
            </w:tcBorders>
            <w:shd w:val="clear" w:color="000000" w:fill="7AC142"/>
            <w:noWrap/>
            <w:vAlign w:val="center"/>
            <w:hideMark/>
          </w:tcPr>
          <w:p w14:paraId="47AE427C" w14:textId="77777777" w:rsidR="00CD751E" w:rsidRPr="000924A9" w:rsidRDefault="00CD751E" w:rsidP="00110CA9">
            <w:pPr>
              <w:spacing w:after="120" w:line="240" w:lineRule="auto"/>
              <w:jc w:val="center"/>
              <w:rPr>
                <w:rFonts w:ascii="Franklin Gothic Book" w:eastAsia="Times New Roman" w:hAnsi="Franklin Gothic Book" w:cs="Arial"/>
                <w:b/>
                <w:bCs/>
                <w:color w:val="000000"/>
                <w:sz w:val="18"/>
                <w:szCs w:val="16"/>
              </w:rPr>
            </w:pPr>
            <w:r w:rsidRPr="000924A9">
              <w:rPr>
                <w:rFonts w:ascii="Franklin Gothic Book" w:eastAsia="Times New Roman" w:hAnsi="Franklin Gothic Book" w:cs="Arial"/>
                <w:b/>
                <w:bCs/>
                <w:color w:val="000000"/>
                <w:sz w:val="18"/>
                <w:szCs w:val="16"/>
              </w:rPr>
              <w:t>Transfer</w:t>
            </w:r>
          </w:p>
        </w:tc>
        <w:tc>
          <w:tcPr>
            <w:tcW w:w="7710" w:type="dxa"/>
            <w:tcBorders>
              <w:top w:val="nil"/>
              <w:left w:val="nil"/>
              <w:bottom w:val="single" w:sz="4" w:space="0" w:color="auto"/>
              <w:right w:val="single" w:sz="4" w:space="0" w:color="auto"/>
            </w:tcBorders>
            <w:shd w:val="clear" w:color="000000" w:fill="7AC142"/>
            <w:noWrap/>
            <w:vAlign w:val="center"/>
            <w:hideMark/>
          </w:tcPr>
          <w:p w14:paraId="03396DD6" w14:textId="77777777" w:rsidR="00CD751E" w:rsidRPr="000924A9" w:rsidRDefault="00CD751E" w:rsidP="00110CA9">
            <w:pPr>
              <w:spacing w:after="120" w:line="240" w:lineRule="auto"/>
              <w:jc w:val="center"/>
              <w:rPr>
                <w:rFonts w:ascii="Franklin Gothic Book" w:eastAsia="Times New Roman" w:hAnsi="Franklin Gothic Book" w:cs="Arial"/>
                <w:b/>
                <w:bCs/>
                <w:color w:val="000000"/>
                <w:sz w:val="18"/>
                <w:szCs w:val="16"/>
              </w:rPr>
            </w:pPr>
            <w:r w:rsidRPr="000924A9">
              <w:rPr>
                <w:rFonts w:ascii="Franklin Gothic Book" w:eastAsia="Times New Roman" w:hAnsi="Franklin Gothic Book" w:cs="Arial"/>
                <w:b/>
                <w:bCs/>
                <w:color w:val="000000"/>
                <w:sz w:val="18"/>
                <w:szCs w:val="16"/>
              </w:rPr>
              <w:t>Description</w:t>
            </w:r>
          </w:p>
        </w:tc>
      </w:tr>
      <w:tr w:rsidR="00CD751E" w:rsidRPr="000924A9" w14:paraId="58A0FF6A" w14:textId="77777777" w:rsidTr="00875C42">
        <w:trPr>
          <w:trHeight w:val="288"/>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BCAE4"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02</w:t>
            </w:r>
          </w:p>
        </w:tc>
        <w:tc>
          <w:tcPr>
            <w:tcW w:w="1115" w:type="dxa"/>
            <w:tcBorders>
              <w:top w:val="nil"/>
              <w:left w:val="nil"/>
              <w:bottom w:val="single" w:sz="4" w:space="0" w:color="auto"/>
              <w:right w:val="single" w:sz="4" w:space="0" w:color="auto"/>
            </w:tcBorders>
            <w:shd w:val="clear" w:color="auto" w:fill="auto"/>
            <w:noWrap/>
            <w:vAlign w:val="bottom"/>
            <w:hideMark/>
          </w:tcPr>
          <w:p w14:paraId="3103646C"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6A3043AC"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short-term general hospital for inpatient care</w:t>
            </w:r>
          </w:p>
        </w:tc>
      </w:tr>
      <w:tr w:rsidR="00CD751E" w:rsidRPr="000924A9" w14:paraId="66FB7A4F" w14:textId="77777777" w:rsidTr="00875C42">
        <w:trPr>
          <w:trHeight w:val="288"/>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3736EDC"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05</w:t>
            </w:r>
          </w:p>
        </w:tc>
        <w:tc>
          <w:tcPr>
            <w:tcW w:w="1115" w:type="dxa"/>
            <w:tcBorders>
              <w:top w:val="nil"/>
              <w:left w:val="nil"/>
              <w:bottom w:val="single" w:sz="4" w:space="0" w:color="auto"/>
              <w:right w:val="single" w:sz="4" w:space="0" w:color="auto"/>
            </w:tcBorders>
            <w:shd w:val="clear" w:color="auto" w:fill="auto"/>
            <w:noWrap/>
            <w:vAlign w:val="bottom"/>
            <w:hideMark/>
          </w:tcPr>
          <w:p w14:paraId="6E70B03B"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7425BE1E"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a designated cancer center or children's hospital</w:t>
            </w:r>
          </w:p>
        </w:tc>
      </w:tr>
      <w:tr w:rsidR="00CD751E" w:rsidRPr="000924A9" w14:paraId="4F4C99FE" w14:textId="77777777" w:rsidTr="00875C42">
        <w:trPr>
          <w:trHeight w:val="288"/>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8901AD0"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62</w:t>
            </w:r>
          </w:p>
        </w:tc>
        <w:tc>
          <w:tcPr>
            <w:tcW w:w="1115" w:type="dxa"/>
            <w:tcBorders>
              <w:top w:val="nil"/>
              <w:left w:val="nil"/>
              <w:bottom w:val="single" w:sz="4" w:space="0" w:color="auto"/>
              <w:right w:val="single" w:sz="4" w:space="0" w:color="auto"/>
            </w:tcBorders>
            <w:shd w:val="clear" w:color="auto" w:fill="auto"/>
            <w:noWrap/>
            <w:vAlign w:val="bottom"/>
            <w:hideMark/>
          </w:tcPr>
          <w:p w14:paraId="2B618FE8"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58DA71CD"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an inpatient rehabilitation facility including distinct part units of a hospital</w:t>
            </w:r>
          </w:p>
        </w:tc>
      </w:tr>
      <w:tr w:rsidR="00CD751E" w:rsidRPr="000924A9" w14:paraId="6D5FD3D0" w14:textId="77777777" w:rsidTr="00875C42">
        <w:trPr>
          <w:trHeight w:val="288"/>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8BC7AEB"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63</w:t>
            </w:r>
          </w:p>
        </w:tc>
        <w:tc>
          <w:tcPr>
            <w:tcW w:w="1115" w:type="dxa"/>
            <w:tcBorders>
              <w:top w:val="nil"/>
              <w:left w:val="nil"/>
              <w:bottom w:val="single" w:sz="4" w:space="0" w:color="auto"/>
              <w:right w:val="single" w:sz="4" w:space="0" w:color="auto"/>
            </w:tcBorders>
            <w:shd w:val="clear" w:color="auto" w:fill="auto"/>
            <w:noWrap/>
            <w:vAlign w:val="bottom"/>
            <w:hideMark/>
          </w:tcPr>
          <w:p w14:paraId="01C45474"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63E899C4"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Discharged/transferred to a </w:t>
            </w:r>
            <w:proofErr w:type="gramStart"/>
            <w:r w:rsidRPr="000924A9">
              <w:rPr>
                <w:rFonts w:ascii="Franklin Gothic Book" w:eastAsia="Times New Roman" w:hAnsi="Franklin Gothic Book" w:cs="Arial"/>
                <w:color w:val="000000"/>
                <w:sz w:val="18"/>
                <w:szCs w:val="16"/>
              </w:rPr>
              <w:t>long term</w:t>
            </w:r>
            <w:proofErr w:type="gramEnd"/>
            <w:r w:rsidRPr="000924A9">
              <w:rPr>
                <w:rFonts w:ascii="Franklin Gothic Book" w:eastAsia="Times New Roman" w:hAnsi="Franklin Gothic Book" w:cs="Arial"/>
                <w:color w:val="000000"/>
                <w:sz w:val="18"/>
                <w:szCs w:val="16"/>
              </w:rPr>
              <w:t xml:space="preserve"> care hospital</w:t>
            </w:r>
          </w:p>
        </w:tc>
      </w:tr>
      <w:tr w:rsidR="00CD751E" w:rsidRPr="000924A9" w14:paraId="15C3BC20" w14:textId="77777777" w:rsidTr="00875C42">
        <w:trPr>
          <w:trHeight w:val="288"/>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04DBAB7"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65</w:t>
            </w:r>
          </w:p>
        </w:tc>
        <w:tc>
          <w:tcPr>
            <w:tcW w:w="1115" w:type="dxa"/>
            <w:tcBorders>
              <w:top w:val="nil"/>
              <w:left w:val="nil"/>
              <w:bottom w:val="single" w:sz="4" w:space="0" w:color="auto"/>
              <w:right w:val="single" w:sz="4" w:space="0" w:color="auto"/>
            </w:tcBorders>
            <w:shd w:val="clear" w:color="auto" w:fill="auto"/>
            <w:noWrap/>
            <w:vAlign w:val="bottom"/>
            <w:hideMark/>
          </w:tcPr>
          <w:p w14:paraId="1100C48B"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6580B59A"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a psychiatric hospital or psychiatric distinct part unit of a hospital</w:t>
            </w:r>
          </w:p>
        </w:tc>
      </w:tr>
      <w:tr w:rsidR="00CD751E" w:rsidRPr="000924A9" w14:paraId="51DE9F7A" w14:textId="77777777" w:rsidTr="00875C42">
        <w:trPr>
          <w:trHeight w:val="288"/>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114CFAD"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66</w:t>
            </w:r>
          </w:p>
        </w:tc>
        <w:tc>
          <w:tcPr>
            <w:tcW w:w="1115" w:type="dxa"/>
            <w:tcBorders>
              <w:top w:val="nil"/>
              <w:left w:val="nil"/>
              <w:bottom w:val="single" w:sz="4" w:space="0" w:color="auto"/>
              <w:right w:val="single" w:sz="4" w:space="0" w:color="auto"/>
            </w:tcBorders>
            <w:shd w:val="clear" w:color="auto" w:fill="auto"/>
            <w:noWrap/>
            <w:vAlign w:val="bottom"/>
            <w:hideMark/>
          </w:tcPr>
          <w:p w14:paraId="666FCE3A"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6A47719E"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a Critical Access Hospital (CAH)</w:t>
            </w:r>
          </w:p>
        </w:tc>
      </w:tr>
      <w:tr w:rsidR="00CD751E" w:rsidRPr="000924A9" w14:paraId="450E10D9" w14:textId="77777777" w:rsidTr="00875C42">
        <w:trPr>
          <w:trHeight w:val="43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498E66E"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82</w:t>
            </w:r>
          </w:p>
        </w:tc>
        <w:tc>
          <w:tcPr>
            <w:tcW w:w="1115" w:type="dxa"/>
            <w:tcBorders>
              <w:top w:val="nil"/>
              <w:left w:val="nil"/>
              <w:bottom w:val="single" w:sz="4" w:space="0" w:color="auto"/>
              <w:right w:val="single" w:sz="4" w:space="0" w:color="auto"/>
            </w:tcBorders>
            <w:shd w:val="clear" w:color="auto" w:fill="auto"/>
            <w:noWrap/>
            <w:vAlign w:val="bottom"/>
            <w:hideMark/>
          </w:tcPr>
          <w:p w14:paraId="58CD055E"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4C53C735"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 xml:space="preserve">Discharged/transferred to a </w:t>
            </w:r>
            <w:proofErr w:type="gramStart"/>
            <w:r w:rsidRPr="000924A9">
              <w:rPr>
                <w:rFonts w:ascii="Franklin Gothic Book" w:eastAsia="Times New Roman" w:hAnsi="Franklin Gothic Book" w:cs="Arial"/>
                <w:color w:val="000000"/>
                <w:sz w:val="18"/>
                <w:szCs w:val="16"/>
              </w:rPr>
              <w:t>short term</w:t>
            </w:r>
            <w:proofErr w:type="gramEnd"/>
            <w:r w:rsidRPr="000924A9">
              <w:rPr>
                <w:rFonts w:ascii="Franklin Gothic Book" w:eastAsia="Times New Roman" w:hAnsi="Franklin Gothic Book" w:cs="Arial"/>
                <w:color w:val="000000"/>
                <w:sz w:val="18"/>
                <w:szCs w:val="16"/>
              </w:rPr>
              <w:t xml:space="preserve"> general hospital for inpatient care with a planned acute care hospital inpatient readmission</w:t>
            </w:r>
          </w:p>
        </w:tc>
      </w:tr>
      <w:tr w:rsidR="00CD751E" w:rsidRPr="000924A9" w14:paraId="6ABD1C76" w14:textId="77777777" w:rsidTr="00875C42">
        <w:trPr>
          <w:trHeight w:val="43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7A93171"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85</w:t>
            </w:r>
          </w:p>
        </w:tc>
        <w:tc>
          <w:tcPr>
            <w:tcW w:w="1115" w:type="dxa"/>
            <w:tcBorders>
              <w:top w:val="nil"/>
              <w:left w:val="nil"/>
              <w:bottom w:val="single" w:sz="4" w:space="0" w:color="auto"/>
              <w:right w:val="single" w:sz="4" w:space="0" w:color="auto"/>
            </w:tcBorders>
            <w:shd w:val="clear" w:color="auto" w:fill="auto"/>
            <w:noWrap/>
            <w:vAlign w:val="bottom"/>
            <w:hideMark/>
          </w:tcPr>
          <w:p w14:paraId="40DAA95F"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1FA07BE1"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a designated cancer center or children's hospital with a planned acute care hospital inpatient readmission</w:t>
            </w:r>
          </w:p>
        </w:tc>
      </w:tr>
      <w:tr w:rsidR="00CD751E" w:rsidRPr="000924A9" w14:paraId="2B7EF38B" w14:textId="77777777" w:rsidTr="00875C42">
        <w:trPr>
          <w:trHeight w:val="43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3F9BDC5"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90</w:t>
            </w:r>
          </w:p>
        </w:tc>
        <w:tc>
          <w:tcPr>
            <w:tcW w:w="1115" w:type="dxa"/>
            <w:tcBorders>
              <w:top w:val="nil"/>
              <w:left w:val="nil"/>
              <w:bottom w:val="single" w:sz="4" w:space="0" w:color="auto"/>
              <w:right w:val="single" w:sz="4" w:space="0" w:color="auto"/>
            </w:tcBorders>
            <w:shd w:val="clear" w:color="auto" w:fill="auto"/>
            <w:noWrap/>
            <w:vAlign w:val="bottom"/>
            <w:hideMark/>
          </w:tcPr>
          <w:p w14:paraId="4EF225C7"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3AA01CD5"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an inpatient rehabilitation facility (IRF) including rehabilitation distinct part units of a hospital with a planned acute care hospital inpatient readmission</w:t>
            </w:r>
          </w:p>
        </w:tc>
      </w:tr>
      <w:tr w:rsidR="00CD751E" w:rsidRPr="000924A9" w14:paraId="067ED9DC" w14:textId="77777777" w:rsidTr="00875C42">
        <w:trPr>
          <w:trHeight w:val="43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051DF02"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91</w:t>
            </w:r>
          </w:p>
        </w:tc>
        <w:tc>
          <w:tcPr>
            <w:tcW w:w="1115" w:type="dxa"/>
            <w:tcBorders>
              <w:top w:val="nil"/>
              <w:left w:val="nil"/>
              <w:bottom w:val="single" w:sz="4" w:space="0" w:color="auto"/>
              <w:right w:val="single" w:sz="4" w:space="0" w:color="auto"/>
            </w:tcBorders>
            <w:shd w:val="clear" w:color="auto" w:fill="auto"/>
            <w:noWrap/>
            <w:vAlign w:val="bottom"/>
            <w:hideMark/>
          </w:tcPr>
          <w:p w14:paraId="1FE51C75"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338167FB"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a Medicare certified long term care hospital (LTCH) with a planned acute care hospital inpatient readmission</w:t>
            </w:r>
          </w:p>
        </w:tc>
      </w:tr>
      <w:tr w:rsidR="00CD751E" w:rsidRPr="000924A9" w14:paraId="7C1F8C5F" w14:textId="77777777" w:rsidTr="00875C42">
        <w:trPr>
          <w:trHeight w:val="43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B787FF3"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93</w:t>
            </w:r>
          </w:p>
        </w:tc>
        <w:tc>
          <w:tcPr>
            <w:tcW w:w="1115" w:type="dxa"/>
            <w:tcBorders>
              <w:top w:val="nil"/>
              <w:left w:val="nil"/>
              <w:bottom w:val="single" w:sz="4" w:space="0" w:color="auto"/>
              <w:right w:val="single" w:sz="4" w:space="0" w:color="auto"/>
            </w:tcBorders>
            <w:shd w:val="clear" w:color="auto" w:fill="auto"/>
            <w:noWrap/>
            <w:vAlign w:val="bottom"/>
            <w:hideMark/>
          </w:tcPr>
          <w:p w14:paraId="68D15B80"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42B02F9E"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a psychiatric distinct part unit of a hospital with a planned acute care hospital inpatient readmission</w:t>
            </w:r>
          </w:p>
        </w:tc>
      </w:tr>
      <w:tr w:rsidR="00CD751E" w:rsidRPr="000924A9" w14:paraId="6F5A8C1F" w14:textId="77777777" w:rsidTr="00875C42">
        <w:trPr>
          <w:trHeight w:val="432"/>
          <w:jc w:val="center"/>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1591FC1"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94</w:t>
            </w:r>
          </w:p>
        </w:tc>
        <w:tc>
          <w:tcPr>
            <w:tcW w:w="1115" w:type="dxa"/>
            <w:tcBorders>
              <w:top w:val="nil"/>
              <w:left w:val="nil"/>
              <w:bottom w:val="single" w:sz="4" w:space="0" w:color="auto"/>
              <w:right w:val="single" w:sz="4" w:space="0" w:color="auto"/>
            </w:tcBorders>
            <w:shd w:val="clear" w:color="auto" w:fill="auto"/>
            <w:noWrap/>
            <w:vAlign w:val="bottom"/>
            <w:hideMark/>
          </w:tcPr>
          <w:p w14:paraId="33242A12" w14:textId="77777777" w:rsidR="00CD751E" w:rsidRPr="000924A9" w:rsidRDefault="00CD751E" w:rsidP="00110CA9">
            <w:pPr>
              <w:spacing w:after="120" w:line="240" w:lineRule="auto"/>
              <w:jc w:val="center"/>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T</w:t>
            </w:r>
          </w:p>
        </w:tc>
        <w:tc>
          <w:tcPr>
            <w:tcW w:w="7710" w:type="dxa"/>
            <w:tcBorders>
              <w:top w:val="nil"/>
              <w:left w:val="nil"/>
              <w:bottom w:val="single" w:sz="4" w:space="0" w:color="auto"/>
              <w:right w:val="single" w:sz="4" w:space="0" w:color="auto"/>
            </w:tcBorders>
            <w:shd w:val="clear" w:color="auto" w:fill="auto"/>
            <w:vAlign w:val="bottom"/>
            <w:hideMark/>
          </w:tcPr>
          <w:p w14:paraId="0D6ED127" w14:textId="77777777" w:rsidR="00CD751E" w:rsidRPr="000924A9" w:rsidRDefault="00CD751E" w:rsidP="00110CA9">
            <w:pPr>
              <w:spacing w:after="120" w:line="240" w:lineRule="auto"/>
              <w:rPr>
                <w:rFonts w:ascii="Franklin Gothic Book" w:eastAsia="Times New Roman" w:hAnsi="Franklin Gothic Book" w:cs="Arial"/>
                <w:color w:val="000000"/>
                <w:sz w:val="18"/>
                <w:szCs w:val="16"/>
              </w:rPr>
            </w:pPr>
            <w:r w:rsidRPr="000924A9">
              <w:rPr>
                <w:rFonts w:ascii="Franklin Gothic Book" w:eastAsia="Times New Roman" w:hAnsi="Franklin Gothic Book" w:cs="Arial"/>
                <w:color w:val="000000"/>
                <w:sz w:val="18"/>
                <w:szCs w:val="16"/>
              </w:rPr>
              <w:t>Discharged/transferred to a critical access hospital (CAH) with a planned acute care hospital inpatient readmission</w:t>
            </w:r>
          </w:p>
        </w:tc>
      </w:tr>
    </w:tbl>
    <w:p w14:paraId="7FBE81FC" w14:textId="77777777" w:rsidR="00CD751E" w:rsidRPr="00330D57" w:rsidRDefault="00CD751E" w:rsidP="00110CA9">
      <w:pPr>
        <w:pStyle w:val="ListParagraph"/>
        <w:spacing w:after="120" w:line="240" w:lineRule="auto"/>
        <w:ind w:left="360"/>
        <w:rPr>
          <w:rFonts w:ascii="Franklin Gothic Book" w:hAnsi="Franklin Gothic Book" w:cs="Arial"/>
          <w:sz w:val="20"/>
        </w:rPr>
      </w:pPr>
    </w:p>
    <w:p w14:paraId="4A8DA326" w14:textId="069C570D" w:rsidR="00CD751E" w:rsidRPr="00330D57" w:rsidRDefault="00CD751E"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To qualify for the transfer adjustment, the discharge status code must be one of the codes on the table above, the </w:t>
      </w:r>
      <w:proofErr w:type="spellStart"/>
      <w:r w:rsidR="001723CE">
        <w:rPr>
          <w:rFonts w:ascii="Franklin Gothic Book" w:hAnsi="Franklin Gothic Book" w:cs="Arial"/>
          <w:sz w:val="20"/>
        </w:rPr>
        <w:t>Solventum</w:t>
      </w:r>
      <w:proofErr w:type="spellEnd"/>
      <w:r w:rsidR="00A0036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assignment must not be 580 or 581, and the actual length of stay must be </w:t>
      </w:r>
      <w:r w:rsidR="0040779C">
        <w:rPr>
          <w:rFonts w:ascii="Franklin Gothic Book" w:hAnsi="Franklin Gothic Book" w:cs="Arial"/>
          <w:sz w:val="20"/>
        </w:rPr>
        <w:t xml:space="preserve">at least one day </w:t>
      </w:r>
      <w:r w:rsidRPr="00330D57">
        <w:rPr>
          <w:rFonts w:ascii="Franklin Gothic Book" w:hAnsi="Franklin Gothic Book" w:cs="Arial"/>
          <w:sz w:val="20"/>
        </w:rPr>
        <w:t>less than the national average length of stay. If these criteria are met, then the calculation below is applied:</w:t>
      </w:r>
    </w:p>
    <w:p w14:paraId="36B8B35C" w14:textId="77777777" w:rsidR="00CD751E" w:rsidRPr="00330D57" w:rsidRDefault="00CD751E" w:rsidP="00110CA9">
      <w:pPr>
        <w:pStyle w:val="ListParagraph"/>
        <w:spacing w:after="120" w:line="240" w:lineRule="auto"/>
        <w:ind w:left="360"/>
        <w:rPr>
          <w:rFonts w:ascii="Franklin Gothic Book" w:hAnsi="Franklin Gothic Book" w:cs="Arial"/>
          <w:sz w:val="20"/>
        </w:rPr>
      </w:pPr>
    </w:p>
    <w:p w14:paraId="66C59FFE" w14:textId="16E2B5E0" w:rsidR="00CD751E" w:rsidRDefault="00CD751E" w:rsidP="00110CA9">
      <w:pPr>
        <w:pStyle w:val="ListParagraph"/>
        <w:spacing w:after="120" w:line="240" w:lineRule="auto"/>
        <w:ind w:left="360"/>
        <w:jc w:val="center"/>
        <w:rPr>
          <w:rFonts w:ascii="Franklin Gothic Book" w:hAnsi="Franklin Gothic Book" w:cs="Arial"/>
          <w:b/>
          <w:i/>
          <w:color w:val="F8971D"/>
          <w:sz w:val="20"/>
        </w:rPr>
      </w:pPr>
      <w:r w:rsidRPr="00330D57">
        <w:rPr>
          <w:rFonts w:ascii="Franklin Gothic Book" w:hAnsi="Franklin Gothic Book" w:cs="Arial"/>
          <w:b/>
          <w:i/>
          <w:color w:val="F8971D"/>
          <w:sz w:val="20"/>
        </w:rPr>
        <w:t xml:space="preserve">([Hospital-Specific Base Rate </w:t>
      </w:r>
      <w:r w:rsidR="002559A6">
        <w:rPr>
          <w:rFonts w:ascii="Franklin Gothic Book" w:hAnsi="Franklin Gothic Book" w:cs="Arial"/>
          <w:b/>
          <w:i/>
          <w:color w:val="F8971D"/>
          <w:sz w:val="20"/>
        </w:rPr>
        <w:t>x</w:t>
      </w:r>
      <w:r w:rsidRPr="00330D57">
        <w:rPr>
          <w:rFonts w:ascii="Franklin Gothic Book" w:hAnsi="Franklin Gothic Book" w:cs="Arial"/>
          <w:b/>
          <w:i/>
          <w:color w:val="F8971D"/>
          <w:sz w:val="20"/>
        </w:rPr>
        <w:t xml:space="preserve"> Age Adjustor </w:t>
      </w:r>
      <w:r w:rsidR="002559A6">
        <w:rPr>
          <w:rFonts w:ascii="Franklin Gothic Book" w:hAnsi="Franklin Gothic Book" w:cs="Arial"/>
          <w:b/>
          <w:i/>
          <w:color w:val="F8971D"/>
          <w:sz w:val="20"/>
        </w:rPr>
        <w:t>x</w:t>
      </w:r>
      <w:r w:rsidRPr="00330D57">
        <w:rPr>
          <w:rFonts w:ascii="Franklin Gothic Book" w:hAnsi="Franklin Gothic Book" w:cs="Arial"/>
          <w:b/>
          <w:i/>
          <w:color w:val="F8971D"/>
          <w:sz w:val="20"/>
        </w:rPr>
        <w:t xml:space="preserve"> Recentered and Adjusted Relative Weight] / Average Length of Stay) </w:t>
      </w:r>
      <w:r w:rsidR="002559A6">
        <w:rPr>
          <w:rFonts w:ascii="Franklin Gothic Book" w:hAnsi="Franklin Gothic Book" w:cs="Arial"/>
          <w:b/>
          <w:i/>
          <w:color w:val="F8971D"/>
          <w:sz w:val="20"/>
        </w:rPr>
        <w:t>x</w:t>
      </w:r>
      <w:r w:rsidRPr="00330D57">
        <w:rPr>
          <w:rFonts w:ascii="Franklin Gothic Book" w:hAnsi="Franklin Gothic Book" w:cs="Arial"/>
          <w:b/>
          <w:i/>
          <w:color w:val="F8971D"/>
          <w:sz w:val="20"/>
        </w:rPr>
        <w:t xml:space="preserve"> </w:t>
      </w:r>
      <w:r w:rsidR="007D73F6">
        <w:rPr>
          <w:rFonts w:ascii="Franklin Gothic Book" w:hAnsi="Franklin Gothic Book" w:cs="Arial"/>
          <w:b/>
          <w:i/>
          <w:color w:val="F8971D"/>
          <w:sz w:val="20"/>
        </w:rPr>
        <w:t>(</w:t>
      </w:r>
      <w:r w:rsidRPr="00330D57">
        <w:rPr>
          <w:rFonts w:ascii="Franklin Gothic Book" w:hAnsi="Franklin Gothic Book" w:cs="Arial"/>
          <w:b/>
          <w:i/>
          <w:color w:val="F8971D"/>
          <w:sz w:val="20"/>
        </w:rPr>
        <w:t>Actual Length of Stay</w:t>
      </w:r>
      <w:r w:rsidR="007D73F6">
        <w:rPr>
          <w:rFonts w:ascii="Franklin Gothic Book" w:hAnsi="Franklin Gothic Book" w:cs="Arial"/>
          <w:b/>
          <w:i/>
          <w:color w:val="F8971D"/>
          <w:sz w:val="20"/>
        </w:rPr>
        <w:t xml:space="preserve"> + 1)</w:t>
      </w:r>
    </w:p>
    <w:p w14:paraId="1267FFDC" w14:textId="1CCEEFC1" w:rsidR="0040779C" w:rsidRPr="001E1A99" w:rsidRDefault="0040779C" w:rsidP="00110CA9">
      <w:pPr>
        <w:pStyle w:val="ListParagraph"/>
        <w:spacing w:after="120" w:line="240" w:lineRule="auto"/>
        <w:ind w:left="360"/>
        <w:jc w:val="center"/>
        <w:rPr>
          <w:rFonts w:ascii="Franklin Gothic Book" w:hAnsi="Franklin Gothic Book" w:cs="Arial"/>
          <w:sz w:val="20"/>
        </w:rPr>
      </w:pPr>
    </w:p>
    <w:p w14:paraId="4697CFBB" w14:textId="77777777" w:rsidR="00CD751E" w:rsidRPr="00330D57" w:rsidRDefault="00CD751E" w:rsidP="00110CA9">
      <w:pPr>
        <w:pStyle w:val="ListParagraph"/>
        <w:spacing w:after="120" w:line="240" w:lineRule="auto"/>
        <w:ind w:left="360"/>
        <w:rPr>
          <w:rFonts w:ascii="Franklin Gothic Book" w:hAnsi="Franklin Gothic Book" w:cs="Arial"/>
          <w:sz w:val="20"/>
        </w:rPr>
      </w:pPr>
    </w:p>
    <w:p w14:paraId="49090775" w14:textId="77777777" w:rsidR="0057153F" w:rsidRPr="00330D57" w:rsidRDefault="0057153F"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Will reimbursement be limited to billed charges?</w:t>
      </w:r>
    </w:p>
    <w:p w14:paraId="4DE5906F" w14:textId="7EDDD04D" w:rsidR="00401331" w:rsidRPr="00330D57" w:rsidRDefault="00E413D6"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Yes. The DRG payment amount for all claims shall not exceed the claim’s charges. In cases where charges are less than the calculated DRG payment amount, the allowed amount will be equal to the claim’s charges.</w:t>
      </w:r>
    </w:p>
    <w:p w14:paraId="78323782" w14:textId="1E8D1887" w:rsidR="00FF261C" w:rsidRPr="00330D57" w:rsidRDefault="00FF261C" w:rsidP="00110CA9">
      <w:pPr>
        <w:pStyle w:val="ListParagraph"/>
        <w:spacing w:after="120" w:line="240" w:lineRule="auto"/>
        <w:ind w:left="360"/>
        <w:rPr>
          <w:rFonts w:ascii="Franklin Gothic Book" w:hAnsi="Franklin Gothic Book"/>
        </w:rPr>
      </w:pPr>
    </w:p>
    <w:p w14:paraId="2933FB00" w14:textId="5BC1CCFA" w:rsidR="00313AD2" w:rsidRPr="00330D57" w:rsidRDefault="00313AD2" w:rsidP="00110CA9">
      <w:pPr>
        <w:pStyle w:val="ListParagraph"/>
        <w:numPr>
          <w:ilvl w:val="0"/>
          <w:numId w:val="1"/>
        </w:numPr>
        <w:spacing w:after="120" w:line="240" w:lineRule="auto"/>
        <w:ind w:left="360"/>
        <w:rPr>
          <w:rFonts w:ascii="Franklin Gothic Book" w:hAnsi="Franklin Gothic Book" w:cs="Arial"/>
          <w:b/>
          <w:color w:val="38939B"/>
          <w:sz w:val="24"/>
          <w:szCs w:val="24"/>
        </w:rPr>
      </w:pPr>
      <w:r w:rsidRPr="00330D57">
        <w:rPr>
          <w:rFonts w:ascii="Franklin Gothic Book" w:hAnsi="Franklin Gothic Book" w:cs="Arial"/>
          <w:b/>
          <w:color w:val="38939B"/>
          <w:sz w:val="24"/>
          <w:szCs w:val="24"/>
        </w:rPr>
        <w:t>What if a patient is eligible for Medicaid for only a portion of an inpatient stay?</w:t>
      </w:r>
    </w:p>
    <w:p w14:paraId="4A31035E" w14:textId="6CECB7D6" w:rsidR="00CB3B9F" w:rsidRDefault="00CB3B9F"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DHW will only reimburse hospitals for inpatient services rendered on Medicaid-covered days. That is, if a patient </w:t>
      </w:r>
      <w:r w:rsidR="00E20407" w:rsidRPr="00330D57">
        <w:rPr>
          <w:rFonts w:ascii="Franklin Gothic Book" w:hAnsi="Franklin Gothic Book" w:cs="Arial"/>
          <w:sz w:val="20"/>
        </w:rPr>
        <w:t xml:space="preserve">gains or loses Medicaid eligibility during an inpatient stay, DHW will pay only for those </w:t>
      </w:r>
      <w:r w:rsidR="000D03AB" w:rsidRPr="00330D57">
        <w:rPr>
          <w:rFonts w:ascii="Franklin Gothic Book" w:hAnsi="Franklin Gothic Book" w:cs="Arial"/>
          <w:sz w:val="20"/>
        </w:rPr>
        <w:t xml:space="preserve">days during which the patient is covered by Medicaid. In these instances, hospitals must split bill and submit to DHW a claim that spans only the Medicaid-covered days and does not include non-covered days. If non-covered days are included, the claim will </w:t>
      </w:r>
      <w:proofErr w:type="gramStart"/>
      <w:r w:rsidR="000D03AB" w:rsidRPr="00330D57">
        <w:rPr>
          <w:rFonts w:ascii="Franklin Gothic Book" w:hAnsi="Franklin Gothic Book" w:cs="Arial"/>
          <w:sz w:val="20"/>
        </w:rPr>
        <w:t>deny</w:t>
      </w:r>
      <w:proofErr w:type="gramEnd"/>
      <w:r w:rsidR="000D03AB" w:rsidRPr="00330D57">
        <w:rPr>
          <w:rFonts w:ascii="Franklin Gothic Book" w:hAnsi="Franklin Gothic Book" w:cs="Arial"/>
          <w:sz w:val="20"/>
        </w:rPr>
        <w:t>.</w:t>
      </w:r>
    </w:p>
    <w:p w14:paraId="505573C5" w14:textId="77777777" w:rsidR="00E62AD7" w:rsidRPr="00330D57" w:rsidRDefault="00E62AD7" w:rsidP="00110CA9">
      <w:pPr>
        <w:pStyle w:val="ListParagraph"/>
        <w:spacing w:after="120" w:line="240" w:lineRule="auto"/>
        <w:ind w:left="360"/>
        <w:rPr>
          <w:rFonts w:ascii="Franklin Gothic Book" w:hAnsi="Franklin Gothic Book" w:cs="Arial"/>
          <w:sz w:val="20"/>
        </w:rPr>
      </w:pPr>
    </w:p>
    <w:p w14:paraId="555B1B38" w14:textId="77777777" w:rsidR="00CB3B9F" w:rsidRPr="00330D57" w:rsidRDefault="00CB3B9F" w:rsidP="00110CA9">
      <w:pPr>
        <w:pStyle w:val="ListParagraph"/>
        <w:spacing w:after="120" w:line="240" w:lineRule="auto"/>
        <w:ind w:left="360"/>
        <w:rPr>
          <w:rFonts w:ascii="Franklin Gothic Book" w:hAnsi="Franklin Gothic Book" w:cs="Arial"/>
          <w:sz w:val="20"/>
        </w:rPr>
      </w:pPr>
    </w:p>
    <w:p w14:paraId="233006AB" w14:textId="77777777" w:rsidR="00313AD2" w:rsidRPr="00330D57" w:rsidRDefault="00313AD2"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lastRenderedPageBreak/>
        <w:t>How will Graduate</w:t>
      </w:r>
      <w:r w:rsidR="000D03AB" w:rsidRPr="00330D57">
        <w:rPr>
          <w:rFonts w:ascii="Franklin Gothic Book" w:hAnsi="Franklin Gothic Book" w:cs="Arial"/>
          <w:b/>
          <w:color w:val="38939B"/>
          <w:sz w:val="24"/>
        </w:rPr>
        <w:t xml:space="preserve"> Medical Education (GME) be paid</w:t>
      </w:r>
      <w:r w:rsidRPr="00330D57">
        <w:rPr>
          <w:rFonts w:ascii="Franklin Gothic Book" w:hAnsi="Franklin Gothic Book" w:cs="Arial"/>
          <w:b/>
          <w:color w:val="38939B"/>
          <w:sz w:val="24"/>
        </w:rPr>
        <w:t>?</w:t>
      </w:r>
    </w:p>
    <w:p w14:paraId="3B657AC1" w14:textId="65BA2FC2" w:rsidR="0040779C" w:rsidRDefault="00656B50" w:rsidP="00110CA9">
      <w:pPr>
        <w:pStyle w:val="ListParagraph"/>
        <w:spacing w:after="120" w:line="240" w:lineRule="auto"/>
        <w:ind w:left="360"/>
        <w:rPr>
          <w:rFonts w:ascii="Franklin Gothic Book" w:hAnsi="Franklin Gothic Book" w:cs="Arial"/>
          <w:sz w:val="20"/>
        </w:rPr>
      </w:pPr>
      <w:r>
        <w:rPr>
          <w:rFonts w:ascii="Franklin Gothic Book" w:hAnsi="Franklin Gothic Book" w:cs="Arial"/>
          <w:sz w:val="20"/>
        </w:rPr>
        <w:t>Graduate Medical Education (GME) is</w:t>
      </w:r>
      <w:r w:rsidR="007332AA" w:rsidRPr="00330D57">
        <w:rPr>
          <w:rFonts w:ascii="Franklin Gothic Book" w:hAnsi="Franklin Gothic Book" w:cs="Arial"/>
          <w:sz w:val="20"/>
        </w:rPr>
        <w:t xml:space="preserve"> reimbursed </w:t>
      </w:r>
      <w:r w:rsidR="0040779C">
        <w:rPr>
          <w:rFonts w:ascii="Franklin Gothic Book" w:hAnsi="Franklin Gothic Book" w:cs="Arial"/>
          <w:sz w:val="20"/>
        </w:rPr>
        <w:t>using a hospital</w:t>
      </w:r>
      <w:r>
        <w:rPr>
          <w:rFonts w:ascii="Franklin Gothic Book" w:hAnsi="Franklin Gothic Book" w:cs="Arial"/>
          <w:sz w:val="20"/>
        </w:rPr>
        <w:t>-</w:t>
      </w:r>
      <w:r w:rsidR="0040779C">
        <w:rPr>
          <w:rFonts w:ascii="Franklin Gothic Book" w:hAnsi="Franklin Gothic Book" w:cs="Arial"/>
          <w:sz w:val="20"/>
        </w:rPr>
        <w:t>specific percentage add-on. The add-on functions similar to a policy adjustor. The total DRG payment after all payment calculations have been made is multiplied by a hospital-specific percentage. This allows GME payments to be easily separated from DRG payments for reporting purposes. The GME payment formula is as follows:</w:t>
      </w:r>
    </w:p>
    <w:p w14:paraId="3D6B2982" w14:textId="77777777" w:rsidR="0040779C" w:rsidRDefault="0040779C" w:rsidP="00110CA9">
      <w:pPr>
        <w:pStyle w:val="ListParagraph"/>
        <w:spacing w:after="120" w:line="240" w:lineRule="auto"/>
        <w:ind w:left="360"/>
        <w:rPr>
          <w:rFonts w:ascii="Franklin Gothic Book" w:hAnsi="Franklin Gothic Book" w:cs="Arial"/>
          <w:sz w:val="20"/>
        </w:rPr>
      </w:pPr>
    </w:p>
    <w:p w14:paraId="2B53618D" w14:textId="5CE5E56D" w:rsidR="0040779C" w:rsidRDefault="0040779C" w:rsidP="001E1A99">
      <w:pPr>
        <w:pStyle w:val="ListParagraph"/>
        <w:spacing w:after="120" w:line="240" w:lineRule="auto"/>
        <w:ind w:left="360"/>
        <w:jc w:val="center"/>
        <w:rPr>
          <w:rFonts w:ascii="Franklin Gothic Book" w:hAnsi="Franklin Gothic Book" w:cs="Arial"/>
          <w:sz w:val="20"/>
        </w:rPr>
      </w:pPr>
      <w:r>
        <w:rPr>
          <w:rFonts w:ascii="Franklin Gothic Book" w:hAnsi="Franklin Gothic Book" w:cs="Arial"/>
          <w:b/>
          <w:i/>
          <w:color w:val="F8971D"/>
          <w:sz w:val="20"/>
        </w:rPr>
        <w:t>DRG Payment after Charge Cap x Hospital-Specific Percentage</w:t>
      </w:r>
    </w:p>
    <w:p w14:paraId="24B4563B" w14:textId="77777777" w:rsidR="0040779C" w:rsidRDefault="0040779C" w:rsidP="00110CA9">
      <w:pPr>
        <w:pStyle w:val="ListParagraph"/>
        <w:spacing w:after="120" w:line="240" w:lineRule="auto"/>
        <w:ind w:left="360"/>
        <w:rPr>
          <w:rFonts w:ascii="Franklin Gothic Book" w:hAnsi="Franklin Gothic Book" w:cs="Arial"/>
          <w:sz w:val="20"/>
        </w:rPr>
      </w:pPr>
    </w:p>
    <w:p w14:paraId="047C8100" w14:textId="0F9F1ABF" w:rsidR="000D03AB" w:rsidRPr="00330D57" w:rsidRDefault="0040779C" w:rsidP="00110CA9">
      <w:pPr>
        <w:pStyle w:val="ListParagraph"/>
        <w:spacing w:after="120" w:line="240" w:lineRule="auto"/>
        <w:ind w:left="360"/>
        <w:rPr>
          <w:rFonts w:ascii="Franklin Gothic Book" w:hAnsi="Franklin Gothic Book" w:cs="Arial"/>
          <w:sz w:val="20"/>
        </w:rPr>
      </w:pPr>
      <w:r>
        <w:rPr>
          <w:rFonts w:ascii="Franklin Gothic Book" w:hAnsi="Franklin Gothic Book" w:cs="Arial"/>
          <w:sz w:val="20"/>
        </w:rPr>
        <w:t xml:space="preserve">The GME add-on percentages were calculated to equal the GME payments hospitals received following their FYE </w:t>
      </w:r>
      <w:r w:rsidR="00656B50">
        <w:rPr>
          <w:rFonts w:ascii="Franklin Gothic Book" w:hAnsi="Franklin Gothic Book" w:cs="Arial"/>
          <w:sz w:val="20"/>
        </w:rPr>
        <w:t xml:space="preserve">2022 </w:t>
      </w:r>
      <w:r>
        <w:rPr>
          <w:rFonts w:ascii="Franklin Gothic Book" w:hAnsi="Franklin Gothic Book" w:cs="Arial"/>
          <w:sz w:val="20"/>
        </w:rPr>
        <w:t xml:space="preserve">cost reports on a per diem basis, as applied to their claims volume in the </w:t>
      </w:r>
      <w:r w:rsidR="00656B50">
        <w:rPr>
          <w:rFonts w:ascii="Franklin Gothic Book" w:hAnsi="Franklin Gothic Book" w:cs="Arial"/>
          <w:sz w:val="20"/>
        </w:rPr>
        <w:t>SFY 2023</w:t>
      </w:r>
      <w:r>
        <w:rPr>
          <w:rFonts w:ascii="Franklin Gothic Book" w:hAnsi="Franklin Gothic Book" w:cs="Arial"/>
          <w:sz w:val="20"/>
        </w:rPr>
        <w:t xml:space="preserve"> dataset. That is, the GME payments for FYE 202</w:t>
      </w:r>
      <w:r w:rsidR="00656B50">
        <w:rPr>
          <w:rFonts w:ascii="Franklin Gothic Book" w:hAnsi="Franklin Gothic Book" w:cs="Arial"/>
          <w:sz w:val="20"/>
        </w:rPr>
        <w:t>2</w:t>
      </w:r>
      <w:r>
        <w:rPr>
          <w:rFonts w:ascii="Franklin Gothic Book" w:hAnsi="Franklin Gothic Book" w:cs="Arial"/>
          <w:sz w:val="20"/>
        </w:rPr>
        <w:t xml:space="preserve"> were divided by the number of inpatient days on the FYE </w:t>
      </w:r>
      <w:r w:rsidR="00656B50">
        <w:rPr>
          <w:rFonts w:ascii="Franklin Gothic Book" w:hAnsi="Franklin Gothic Book" w:cs="Arial"/>
          <w:sz w:val="20"/>
        </w:rPr>
        <w:t xml:space="preserve">2022 </w:t>
      </w:r>
      <w:r>
        <w:rPr>
          <w:rFonts w:ascii="Franklin Gothic Book" w:hAnsi="Franklin Gothic Book" w:cs="Arial"/>
          <w:sz w:val="20"/>
        </w:rPr>
        <w:t xml:space="preserve">cost reports. This per diem amount was multiplied by the claims volume in the </w:t>
      </w:r>
      <w:r w:rsidR="00656B50">
        <w:rPr>
          <w:rFonts w:ascii="Franklin Gothic Book" w:hAnsi="Franklin Gothic Book" w:cs="Arial"/>
          <w:sz w:val="20"/>
        </w:rPr>
        <w:t>SFY 2023</w:t>
      </w:r>
      <w:r>
        <w:rPr>
          <w:rFonts w:ascii="Franklin Gothic Book" w:hAnsi="Franklin Gothic Book" w:cs="Arial"/>
          <w:sz w:val="20"/>
        </w:rPr>
        <w:t xml:space="preserve"> dataset. </w:t>
      </w:r>
    </w:p>
    <w:p w14:paraId="376D9D4A" w14:textId="469C8D61" w:rsidR="000D03AB" w:rsidRDefault="000D03AB" w:rsidP="00110CA9">
      <w:pPr>
        <w:pStyle w:val="ListParagraph"/>
        <w:spacing w:after="120" w:line="240" w:lineRule="auto"/>
        <w:ind w:left="360"/>
        <w:rPr>
          <w:rFonts w:ascii="Franklin Gothic Book" w:hAnsi="Franklin Gothic Book" w:cs="Arial"/>
          <w:sz w:val="20"/>
        </w:rPr>
      </w:pPr>
    </w:p>
    <w:p w14:paraId="7EE88D03" w14:textId="77777777" w:rsidR="00C7175C" w:rsidRPr="00330D57" w:rsidRDefault="00C7175C" w:rsidP="00110CA9">
      <w:pPr>
        <w:pStyle w:val="ListParagraph"/>
        <w:spacing w:after="120" w:line="240" w:lineRule="auto"/>
        <w:ind w:left="360"/>
        <w:rPr>
          <w:rFonts w:ascii="Franklin Gothic Book" w:hAnsi="Franklin Gothic Book" w:cs="Arial"/>
          <w:sz w:val="20"/>
        </w:rPr>
      </w:pPr>
    </w:p>
    <w:p w14:paraId="0337F3E2" w14:textId="77777777" w:rsidR="00313AD2" w:rsidRPr="00330D57" w:rsidRDefault="00313AD2"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How will readmissions be reimbursed?</w:t>
      </w:r>
    </w:p>
    <w:p w14:paraId="1493C9F8" w14:textId="37B768C5" w:rsidR="000D03AB" w:rsidRPr="00330D57" w:rsidRDefault="00F222FE"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Claims for r</w:t>
      </w:r>
      <w:r w:rsidR="000D03AB" w:rsidRPr="00330D57">
        <w:rPr>
          <w:rFonts w:ascii="Franklin Gothic Book" w:hAnsi="Franklin Gothic Book" w:cs="Arial"/>
          <w:sz w:val="20"/>
        </w:rPr>
        <w:t xml:space="preserve">eadmissions will be </w:t>
      </w:r>
      <w:r w:rsidRPr="00330D57">
        <w:rPr>
          <w:rFonts w:ascii="Franklin Gothic Book" w:hAnsi="Franklin Gothic Book" w:cs="Arial"/>
          <w:sz w:val="20"/>
        </w:rPr>
        <w:t xml:space="preserve">processed and paid as unique and distinct inpatient stays in SFY </w:t>
      </w:r>
      <w:r w:rsidR="00656B50" w:rsidRPr="00330D57">
        <w:rPr>
          <w:rFonts w:ascii="Franklin Gothic Book" w:hAnsi="Franklin Gothic Book" w:cs="Arial"/>
          <w:sz w:val="20"/>
        </w:rPr>
        <w:t>202</w:t>
      </w:r>
      <w:r w:rsidR="00656B50">
        <w:rPr>
          <w:rFonts w:ascii="Franklin Gothic Book" w:hAnsi="Franklin Gothic Book" w:cs="Arial"/>
          <w:sz w:val="20"/>
        </w:rPr>
        <w:t>5</w:t>
      </w:r>
      <w:r w:rsidRPr="00330D57">
        <w:rPr>
          <w:rFonts w:ascii="Franklin Gothic Book" w:hAnsi="Franklin Gothic Book" w:cs="Arial"/>
          <w:sz w:val="20"/>
        </w:rPr>
        <w:t xml:space="preserve">. A new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may be assigned, and payment will be calculated independently of the initial admission.</w:t>
      </w:r>
    </w:p>
    <w:p w14:paraId="04B7F0AA" w14:textId="77777777" w:rsidR="00F222FE" w:rsidRPr="00330D57" w:rsidRDefault="00F222FE" w:rsidP="00110CA9">
      <w:pPr>
        <w:pStyle w:val="ListParagraph"/>
        <w:spacing w:after="120" w:line="240" w:lineRule="auto"/>
        <w:ind w:left="360"/>
        <w:rPr>
          <w:rFonts w:ascii="Franklin Gothic Book" w:hAnsi="Franklin Gothic Book" w:cs="Arial"/>
          <w:sz w:val="20"/>
        </w:rPr>
      </w:pPr>
    </w:p>
    <w:p w14:paraId="1F984B67" w14:textId="77777777" w:rsidR="00313AD2" w:rsidRPr="00330D57" w:rsidRDefault="00313AD2"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Will there be an outpatient bundling window similar to Medicare?</w:t>
      </w:r>
    </w:p>
    <w:p w14:paraId="30917740" w14:textId="793E6A17" w:rsidR="00F222FE" w:rsidRPr="00330D57" w:rsidRDefault="00F222FE"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Hospitals are currently required to bill any emergency room (ER) and observation services that occur on the same day as an inpatient admission on the inpatient claim. Other types of outpatient services and ER/observation services prior to the day of an inpatient admission are separately reimbursed on outpatient claims. </w:t>
      </w:r>
      <w:r w:rsidR="000F1137" w:rsidRPr="00330D57">
        <w:rPr>
          <w:rFonts w:ascii="Franklin Gothic Book" w:hAnsi="Franklin Gothic Book" w:cs="Arial"/>
          <w:sz w:val="20"/>
        </w:rPr>
        <w:t xml:space="preserve">This policy will </w:t>
      </w:r>
      <w:proofErr w:type="gramStart"/>
      <w:r w:rsidR="000F1137" w:rsidRPr="00330D57">
        <w:rPr>
          <w:rFonts w:ascii="Franklin Gothic Book" w:hAnsi="Franklin Gothic Book" w:cs="Arial"/>
          <w:sz w:val="20"/>
        </w:rPr>
        <w:t>continue in</w:t>
      </w:r>
      <w:proofErr w:type="gramEnd"/>
      <w:r w:rsidR="000F1137" w:rsidRPr="00330D57">
        <w:rPr>
          <w:rFonts w:ascii="Franklin Gothic Book" w:hAnsi="Franklin Gothic Book" w:cs="Arial"/>
          <w:sz w:val="20"/>
        </w:rPr>
        <w:t xml:space="preserve"> in SFY </w:t>
      </w:r>
      <w:r w:rsidR="00656B50" w:rsidRPr="00330D57">
        <w:rPr>
          <w:rFonts w:ascii="Franklin Gothic Book" w:hAnsi="Franklin Gothic Book" w:cs="Arial"/>
          <w:sz w:val="20"/>
        </w:rPr>
        <w:t>202</w:t>
      </w:r>
      <w:r w:rsidR="00656B50">
        <w:rPr>
          <w:rFonts w:ascii="Franklin Gothic Book" w:hAnsi="Franklin Gothic Book" w:cs="Arial"/>
          <w:sz w:val="20"/>
        </w:rPr>
        <w:t>5</w:t>
      </w:r>
      <w:r w:rsidR="000F1137" w:rsidRPr="00330D57">
        <w:rPr>
          <w:rFonts w:ascii="Franklin Gothic Book" w:hAnsi="Franklin Gothic Book" w:cs="Arial"/>
          <w:sz w:val="20"/>
        </w:rPr>
        <w:t xml:space="preserve">. Same-day ER/observation services included on the inpatient claim will be </w:t>
      </w:r>
      <w:r w:rsidR="008A0825" w:rsidRPr="00330D57">
        <w:rPr>
          <w:rFonts w:ascii="Franklin Gothic Book" w:hAnsi="Franklin Gothic Book" w:cs="Arial"/>
          <w:sz w:val="20"/>
        </w:rPr>
        <w:t xml:space="preserve">processed </w:t>
      </w:r>
      <w:r w:rsidR="000F1137" w:rsidRPr="00330D57">
        <w:rPr>
          <w:rFonts w:ascii="Franklin Gothic Book" w:hAnsi="Franklin Gothic Book" w:cs="Arial"/>
          <w:sz w:val="20"/>
        </w:rPr>
        <w:t xml:space="preserve">through the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0F1137" w:rsidRPr="00330D57">
        <w:rPr>
          <w:rFonts w:ascii="Franklin Gothic Book" w:hAnsi="Franklin Gothic Book" w:cs="Arial"/>
          <w:sz w:val="20"/>
        </w:rPr>
        <w:t xml:space="preserve"> grouper and will be considered in the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0F1137" w:rsidRPr="00330D57">
        <w:rPr>
          <w:rFonts w:ascii="Franklin Gothic Book" w:hAnsi="Franklin Gothic Book" w:cs="Arial"/>
          <w:sz w:val="20"/>
        </w:rPr>
        <w:t xml:space="preserve"> assignment.</w:t>
      </w:r>
    </w:p>
    <w:p w14:paraId="5B48A0E7" w14:textId="77777777" w:rsidR="008A0825" w:rsidRPr="00330D57" w:rsidRDefault="008A0825" w:rsidP="00110CA9">
      <w:pPr>
        <w:pStyle w:val="ListParagraph"/>
        <w:spacing w:after="120" w:line="240" w:lineRule="auto"/>
        <w:ind w:left="360"/>
        <w:rPr>
          <w:rFonts w:ascii="Franklin Gothic Book" w:hAnsi="Franklin Gothic Book" w:cs="Arial"/>
          <w:sz w:val="20"/>
        </w:rPr>
      </w:pPr>
    </w:p>
    <w:p w14:paraId="57989B01" w14:textId="10669360" w:rsidR="000F1137" w:rsidRPr="00330D57" w:rsidRDefault="008A0825"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A</w:t>
      </w:r>
      <w:r w:rsidR="000F1137" w:rsidRPr="00330D57">
        <w:rPr>
          <w:rFonts w:ascii="Franklin Gothic Book" w:hAnsi="Franklin Gothic Book" w:cs="Arial"/>
          <w:sz w:val="20"/>
        </w:rPr>
        <w:t xml:space="preserve"> change to an outpatient bundling policy more similar to Medicare is possible in future years.</w:t>
      </w:r>
    </w:p>
    <w:p w14:paraId="147F5D84" w14:textId="77777777" w:rsidR="006950A3" w:rsidRPr="00330D57" w:rsidRDefault="006950A3" w:rsidP="00110CA9">
      <w:pPr>
        <w:pStyle w:val="ListParagraph"/>
        <w:spacing w:after="120" w:line="240" w:lineRule="auto"/>
        <w:ind w:left="360"/>
        <w:rPr>
          <w:rFonts w:ascii="Franklin Gothic Book" w:hAnsi="Franklin Gothic Book" w:cs="Arial"/>
          <w:sz w:val="20"/>
        </w:rPr>
      </w:pPr>
    </w:p>
    <w:p w14:paraId="753356DC" w14:textId="77777777" w:rsidR="006950A3" w:rsidRPr="00330D57" w:rsidRDefault="006950A3"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Will administrative days be granted and paid separately under the new methodology?</w:t>
      </w:r>
    </w:p>
    <w:p w14:paraId="4D9821D1" w14:textId="27209C8A" w:rsidR="006950A3" w:rsidRPr="00330D57" w:rsidRDefault="006950A3"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Policies concerning administrative days </w:t>
      </w:r>
      <w:r w:rsidR="008A0825" w:rsidRPr="00330D57">
        <w:rPr>
          <w:rFonts w:ascii="Franklin Gothic Book" w:hAnsi="Franklin Gothic Book" w:cs="Arial"/>
          <w:sz w:val="20"/>
        </w:rPr>
        <w:t xml:space="preserve">(sometimes referred to as awaiting placement days) </w:t>
      </w:r>
      <w:r w:rsidRPr="00330D57">
        <w:rPr>
          <w:rFonts w:ascii="Franklin Gothic Book" w:hAnsi="Franklin Gothic Book" w:cs="Arial"/>
          <w:sz w:val="20"/>
        </w:rPr>
        <w:t>are outside the scope of DRG methodology and are not affected by it.</w:t>
      </w:r>
    </w:p>
    <w:p w14:paraId="60563E58" w14:textId="77777777" w:rsidR="006950A3" w:rsidRPr="00330D57" w:rsidRDefault="006950A3" w:rsidP="00110CA9">
      <w:pPr>
        <w:pStyle w:val="ListParagraph"/>
        <w:spacing w:after="120" w:line="240" w:lineRule="auto"/>
        <w:ind w:left="360"/>
        <w:rPr>
          <w:rFonts w:ascii="Franklin Gothic Book" w:hAnsi="Franklin Gothic Book" w:cs="Arial"/>
          <w:sz w:val="20"/>
        </w:rPr>
      </w:pPr>
    </w:p>
    <w:p w14:paraId="67A293A1" w14:textId="6A78FA7A" w:rsidR="006950A3" w:rsidRPr="00330D57" w:rsidRDefault="006950A3"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Will the </w:t>
      </w:r>
      <w:r w:rsidR="00FE5238">
        <w:rPr>
          <w:rFonts w:ascii="Franklin Gothic Book" w:hAnsi="Franklin Gothic Book" w:cs="Arial"/>
          <w:b/>
          <w:color w:val="38939B"/>
          <w:sz w:val="24"/>
        </w:rPr>
        <w:t xml:space="preserve">SFY </w:t>
      </w:r>
      <w:r w:rsidR="00656B50">
        <w:rPr>
          <w:rFonts w:ascii="Franklin Gothic Book" w:hAnsi="Franklin Gothic Book" w:cs="Arial"/>
          <w:b/>
          <w:color w:val="38939B"/>
          <w:sz w:val="24"/>
        </w:rPr>
        <w:t xml:space="preserve">2025 </w:t>
      </w:r>
      <w:r w:rsidR="00FE5238">
        <w:rPr>
          <w:rFonts w:ascii="Franklin Gothic Book" w:hAnsi="Franklin Gothic Book" w:cs="Arial"/>
          <w:b/>
          <w:color w:val="38939B"/>
          <w:sz w:val="24"/>
        </w:rPr>
        <w:t xml:space="preserve">DRG update </w:t>
      </w:r>
      <w:r w:rsidRPr="00330D57">
        <w:rPr>
          <w:rFonts w:ascii="Franklin Gothic Book" w:hAnsi="Franklin Gothic Book" w:cs="Arial"/>
          <w:b/>
          <w:color w:val="38939B"/>
          <w:sz w:val="24"/>
        </w:rPr>
        <w:t>change authorization requirements?</w:t>
      </w:r>
    </w:p>
    <w:p w14:paraId="63066346" w14:textId="3E2DF98E" w:rsidR="006950A3" w:rsidRPr="00330D57" w:rsidRDefault="00FE5238" w:rsidP="00110CA9">
      <w:pPr>
        <w:pStyle w:val="ListParagraph"/>
        <w:spacing w:after="120" w:line="240" w:lineRule="auto"/>
        <w:ind w:left="360"/>
        <w:rPr>
          <w:rFonts w:ascii="Franklin Gothic Book" w:hAnsi="Franklin Gothic Book" w:cs="Arial"/>
          <w:sz w:val="20"/>
        </w:rPr>
      </w:pPr>
      <w:r>
        <w:rPr>
          <w:rFonts w:ascii="Franklin Gothic Book" w:hAnsi="Franklin Gothic Book" w:cs="Arial"/>
          <w:sz w:val="20"/>
        </w:rPr>
        <w:t>No. C</w:t>
      </w:r>
      <w:r w:rsidR="000147A8">
        <w:rPr>
          <w:rFonts w:ascii="Franklin Gothic Book" w:hAnsi="Franklin Gothic Book" w:cs="Arial"/>
          <w:sz w:val="20"/>
        </w:rPr>
        <w:t xml:space="preserve">oncurrent and continued stay review </w:t>
      </w:r>
      <w:r w:rsidR="006950A3" w:rsidRPr="00330D57">
        <w:rPr>
          <w:rFonts w:ascii="Franklin Gothic Book" w:hAnsi="Franklin Gothic Book" w:cs="Arial"/>
          <w:sz w:val="20"/>
        </w:rPr>
        <w:t xml:space="preserve">authorization requirements </w:t>
      </w:r>
      <w:r>
        <w:rPr>
          <w:rFonts w:ascii="Franklin Gothic Book" w:hAnsi="Franklin Gothic Book" w:cs="Arial"/>
          <w:sz w:val="20"/>
        </w:rPr>
        <w:t>are</w:t>
      </w:r>
      <w:r w:rsidRPr="00330D57">
        <w:rPr>
          <w:rFonts w:ascii="Franklin Gothic Book" w:hAnsi="Franklin Gothic Book" w:cs="Arial"/>
          <w:sz w:val="20"/>
        </w:rPr>
        <w:t xml:space="preserve"> </w:t>
      </w:r>
      <w:r w:rsidR="000147A8">
        <w:rPr>
          <w:rFonts w:ascii="Franklin Gothic Book" w:hAnsi="Franklin Gothic Book" w:cs="Arial"/>
          <w:sz w:val="20"/>
        </w:rPr>
        <w:t xml:space="preserve">no longer </w:t>
      </w:r>
      <w:proofErr w:type="gramStart"/>
      <w:r w:rsidR="000147A8">
        <w:rPr>
          <w:rFonts w:ascii="Franklin Gothic Book" w:hAnsi="Franklin Gothic Book" w:cs="Arial"/>
          <w:sz w:val="20"/>
        </w:rPr>
        <w:t>be required</w:t>
      </w:r>
      <w:proofErr w:type="gramEnd"/>
      <w:r w:rsidR="000147A8">
        <w:rPr>
          <w:rFonts w:ascii="Franklin Gothic Book" w:hAnsi="Franklin Gothic Book" w:cs="Arial"/>
          <w:sz w:val="20"/>
        </w:rPr>
        <w:t xml:space="preserve"> for providers reimbursed under the DRG methodology</w:t>
      </w:r>
      <w:r>
        <w:rPr>
          <w:rFonts w:ascii="Franklin Gothic Book" w:hAnsi="Franklin Gothic Book" w:cs="Arial"/>
          <w:sz w:val="20"/>
        </w:rPr>
        <w:t xml:space="preserve"> as they were under cost settlement reimbursement</w:t>
      </w:r>
      <w:r w:rsidR="000147A8">
        <w:rPr>
          <w:rFonts w:ascii="Franklin Gothic Book" w:hAnsi="Franklin Gothic Book" w:cs="Arial"/>
          <w:sz w:val="20"/>
        </w:rPr>
        <w:t xml:space="preserve">. </w:t>
      </w:r>
      <w:r w:rsidR="00132030">
        <w:rPr>
          <w:rFonts w:ascii="Franklin Gothic Book" w:hAnsi="Franklin Gothic Book" w:cs="Arial"/>
          <w:sz w:val="20"/>
        </w:rPr>
        <w:t xml:space="preserve">The concurrent and continued stay reviews </w:t>
      </w:r>
      <w:r>
        <w:rPr>
          <w:rFonts w:ascii="Franklin Gothic Book" w:hAnsi="Franklin Gothic Book" w:cs="Arial"/>
          <w:sz w:val="20"/>
        </w:rPr>
        <w:t>were</w:t>
      </w:r>
      <w:r w:rsidR="00132030">
        <w:rPr>
          <w:rFonts w:ascii="Franklin Gothic Book" w:hAnsi="Franklin Gothic Book" w:cs="Arial"/>
          <w:sz w:val="20"/>
        </w:rPr>
        <w:t xml:space="preserve"> replaced with retrospective DRG </w:t>
      </w:r>
      <w:r w:rsidR="000C0E34">
        <w:rPr>
          <w:rFonts w:ascii="Franklin Gothic Book" w:hAnsi="Franklin Gothic Book" w:cs="Arial"/>
          <w:sz w:val="20"/>
        </w:rPr>
        <w:t>audits</w:t>
      </w:r>
      <w:r w:rsidR="00132030">
        <w:rPr>
          <w:rFonts w:ascii="Franklin Gothic Book" w:hAnsi="Franklin Gothic Book" w:cs="Arial"/>
          <w:sz w:val="20"/>
        </w:rPr>
        <w:t xml:space="preserve"> starting July 1, 2021.</w:t>
      </w:r>
      <w:r>
        <w:rPr>
          <w:rFonts w:ascii="Franklin Gothic Book" w:hAnsi="Franklin Gothic Book" w:cs="Arial"/>
          <w:sz w:val="20"/>
        </w:rPr>
        <w:t xml:space="preserve"> There is no change to this policy in SFY </w:t>
      </w:r>
      <w:r w:rsidR="00656B50">
        <w:rPr>
          <w:rFonts w:ascii="Franklin Gothic Book" w:hAnsi="Franklin Gothic Book" w:cs="Arial"/>
          <w:sz w:val="20"/>
        </w:rPr>
        <w:t>2025</w:t>
      </w:r>
      <w:r>
        <w:rPr>
          <w:rFonts w:ascii="Franklin Gothic Book" w:hAnsi="Franklin Gothic Book" w:cs="Arial"/>
          <w:sz w:val="20"/>
        </w:rPr>
        <w:t>.</w:t>
      </w:r>
    </w:p>
    <w:p w14:paraId="071B61D4" w14:textId="77777777" w:rsidR="00F222FE" w:rsidRPr="00330D57" w:rsidRDefault="00F222FE" w:rsidP="00110CA9">
      <w:pPr>
        <w:pStyle w:val="ListParagraph"/>
        <w:spacing w:after="120" w:line="240" w:lineRule="auto"/>
        <w:ind w:left="360"/>
        <w:rPr>
          <w:rFonts w:ascii="Franklin Gothic Book" w:hAnsi="Franklin Gothic Book" w:cs="Arial"/>
          <w:sz w:val="20"/>
        </w:rPr>
      </w:pPr>
    </w:p>
    <w:p w14:paraId="4084BCFC" w14:textId="2E076279" w:rsidR="00313AD2" w:rsidRPr="00330D57" w:rsidRDefault="00313AD2"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How often will updates occur</w:t>
      </w:r>
      <w:r w:rsidR="000F1137" w:rsidRPr="00330D57">
        <w:rPr>
          <w:rFonts w:ascii="Franklin Gothic Book" w:hAnsi="Franklin Gothic Book" w:cs="Arial"/>
          <w:b/>
          <w:color w:val="38939B"/>
          <w:sz w:val="24"/>
        </w:rPr>
        <w:t xml:space="preserve"> to the DRG system</w:t>
      </w:r>
      <w:r w:rsidRPr="00330D57">
        <w:rPr>
          <w:rFonts w:ascii="Franklin Gothic Book" w:hAnsi="Franklin Gothic Book" w:cs="Arial"/>
          <w:b/>
          <w:color w:val="38939B"/>
          <w:sz w:val="24"/>
        </w:rPr>
        <w:t>?</w:t>
      </w:r>
      <w:r w:rsidR="000F1137" w:rsidRPr="00330D57">
        <w:rPr>
          <w:rFonts w:ascii="Franklin Gothic Book" w:hAnsi="Franklin Gothic Book" w:cs="Arial"/>
          <w:b/>
          <w:color w:val="38939B"/>
          <w:sz w:val="24"/>
        </w:rPr>
        <w:t xml:space="preserve"> What will be included in updates?</w:t>
      </w:r>
    </w:p>
    <w:p w14:paraId="6A886FDE" w14:textId="6087ACE9" w:rsidR="00E219DD" w:rsidRPr="00330D57" w:rsidRDefault="000F1137"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DHW has </w:t>
      </w:r>
      <w:r w:rsidR="00FE5238">
        <w:rPr>
          <w:rFonts w:ascii="Franklin Gothic Book" w:hAnsi="Franklin Gothic Book" w:cs="Arial"/>
          <w:sz w:val="20"/>
        </w:rPr>
        <w:t>not decided on the schedule of future updates to the DRG system at this time. Future u</w:t>
      </w:r>
      <w:r w:rsidR="00E219DD" w:rsidRPr="00330D57">
        <w:rPr>
          <w:rFonts w:ascii="Franklin Gothic Book" w:hAnsi="Franklin Gothic Book" w:cs="Arial"/>
          <w:sz w:val="20"/>
        </w:rPr>
        <w:t xml:space="preserve">pdates may include but are not limited to the DRG grouper and relative weights, policy adjustors, base rates, </w:t>
      </w:r>
      <w:r w:rsidR="008A0825" w:rsidRPr="00330D57">
        <w:rPr>
          <w:rFonts w:ascii="Franklin Gothic Book" w:hAnsi="Franklin Gothic Book" w:cs="Arial"/>
          <w:sz w:val="20"/>
        </w:rPr>
        <w:t xml:space="preserve">and </w:t>
      </w:r>
      <w:r w:rsidR="00E219DD" w:rsidRPr="00330D57">
        <w:rPr>
          <w:rFonts w:ascii="Franklin Gothic Book" w:hAnsi="Franklin Gothic Book" w:cs="Arial"/>
          <w:sz w:val="20"/>
        </w:rPr>
        <w:t>outlier policies and values.</w:t>
      </w:r>
    </w:p>
    <w:p w14:paraId="0F388B57" w14:textId="77777777" w:rsidR="000F1137" w:rsidRPr="00330D57" w:rsidRDefault="000F1137" w:rsidP="00110CA9">
      <w:pPr>
        <w:pStyle w:val="ListParagraph"/>
        <w:spacing w:after="120" w:line="240" w:lineRule="auto"/>
        <w:ind w:left="360"/>
        <w:rPr>
          <w:rFonts w:ascii="Franklin Gothic Book" w:hAnsi="Franklin Gothic Book" w:cs="Arial"/>
          <w:sz w:val="20"/>
        </w:rPr>
      </w:pPr>
    </w:p>
    <w:p w14:paraId="07464D78" w14:textId="2FF1B5BD" w:rsidR="00E060F5" w:rsidRPr="00330D57" w:rsidRDefault="00E060F5"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When will </w:t>
      </w:r>
      <w:proofErr w:type="spellStart"/>
      <w:r w:rsidR="001723CE">
        <w:rPr>
          <w:rFonts w:ascii="Franklin Gothic Book" w:hAnsi="Franklin Gothic Book" w:cs="Arial"/>
          <w:b/>
          <w:color w:val="38939B"/>
          <w:sz w:val="24"/>
        </w:rPr>
        <w:t>Solventum</w:t>
      </w:r>
      <w:proofErr w:type="spellEnd"/>
      <w:r w:rsidR="0072193E" w:rsidRPr="00330D57">
        <w:rPr>
          <w:rFonts w:ascii="Franklin Gothic Book" w:hAnsi="Franklin Gothic Book" w:cs="Arial"/>
          <w:b/>
          <w:color w:val="38939B"/>
          <w:sz w:val="24"/>
        </w:rPr>
        <w:t xml:space="preserve"> </w:t>
      </w:r>
      <w:r w:rsidR="00423B12">
        <w:rPr>
          <w:rFonts w:ascii="Franklin Gothic Book" w:hAnsi="Franklin Gothic Book" w:cs="Arial"/>
          <w:b/>
          <w:color w:val="38939B"/>
          <w:sz w:val="24"/>
        </w:rPr>
        <w:t>APR DRG</w:t>
      </w:r>
      <w:r w:rsidRPr="00330D57">
        <w:rPr>
          <w:rFonts w:ascii="Franklin Gothic Book" w:hAnsi="Franklin Gothic Book" w:cs="Arial"/>
          <w:b/>
          <w:color w:val="38939B"/>
          <w:sz w:val="24"/>
        </w:rPr>
        <w:t xml:space="preserve"> grouper updates occur?</w:t>
      </w:r>
    </w:p>
    <w:p w14:paraId="0C7A7548" w14:textId="359E8EC6" w:rsidR="002B1DD8" w:rsidRDefault="001723CE" w:rsidP="00110CA9">
      <w:pPr>
        <w:pStyle w:val="ListParagraph"/>
        <w:spacing w:after="120" w:line="240" w:lineRule="auto"/>
        <w:ind w:left="360"/>
        <w:rPr>
          <w:rFonts w:ascii="Franklin Gothic Book" w:hAnsi="Franklin Gothic Book" w:cs="Arial"/>
          <w:sz w:val="20"/>
        </w:rPr>
      </w:pPr>
      <w:proofErr w:type="spellStart"/>
      <w:r>
        <w:rPr>
          <w:rFonts w:ascii="Franklin Gothic Book" w:hAnsi="Franklin Gothic Book" w:cs="Arial"/>
          <w:sz w:val="20"/>
        </w:rPr>
        <w:t>Solventum</w:t>
      </w:r>
      <w:proofErr w:type="spellEnd"/>
      <w:r w:rsidR="00E060F5" w:rsidRPr="00330D57">
        <w:rPr>
          <w:rFonts w:ascii="Franklin Gothic Book" w:hAnsi="Franklin Gothic Book" w:cs="Arial"/>
          <w:sz w:val="20"/>
        </w:rPr>
        <w:t xml:space="preserve"> publishes a new grouper version annually on October 1 to coincide with the annual release of International Classification of Diseases, Tenth Revision (ICD-10-CM) diagnosis and procedure codes. Each grouper version incorporates ICD-10 coding changes effective October 1, and some versions contain other changes, such as refinements to the </w:t>
      </w:r>
      <w:proofErr w:type="spellStart"/>
      <w:r>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E060F5" w:rsidRPr="00330D57">
        <w:rPr>
          <w:rFonts w:ascii="Franklin Gothic Book" w:hAnsi="Franklin Gothic Book" w:cs="Arial"/>
          <w:sz w:val="20"/>
        </w:rPr>
        <w:t xml:space="preserve"> assignment logic or the population of</w:t>
      </w:r>
      <w:r w:rsidR="0072193E" w:rsidRPr="00330D57">
        <w:rPr>
          <w:rFonts w:ascii="Franklin Gothic Book" w:hAnsi="Franklin Gothic Book" w:cs="Arial"/>
          <w:sz w:val="20"/>
        </w:rPr>
        <w:t xml:space="preserve"> </w:t>
      </w:r>
      <w:proofErr w:type="spellStart"/>
      <w:r>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E060F5" w:rsidRPr="00330D57">
        <w:rPr>
          <w:rFonts w:ascii="Franklin Gothic Book" w:hAnsi="Franklin Gothic Book" w:cs="Arial"/>
          <w:sz w:val="20"/>
        </w:rPr>
        <w:t>s.</w:t>
      </w:r>
      <w:r w:rsidR="00317776">
        <w:rPr>
          <w:rFonts w:ascii="Franklin Gothic Book" w:hAnsi="Franklin Gothic Book" w:cs="Arial"/>
          <w:sz w:val="20"/>
        </w:rPr>
        <w:t xml:space="preserve"> </w:t>
      </w:r>
      <w:r w:rsidR="00E060F5" w:rsidRPr="00330D57">
        <w:rPr>
          <w:rFonts w:ascii="Franklin Gothic Book" w:hAnsi="Franklin Gothic Book" w:cs="Arial"/>
          <w:sz w:val="20"/>
        </w:rPr>
        <w:t xml:space="preserve">Therefore, it’s necessary to annually install a Mapper on October 1 that maps new ICD-10 codes to the previous </w:t>
      </w:r>
      <w:proofErr w:type="spellStart"/>
      <w:r>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E060F5" w:rsidRPr="00330D57">
        <w:rPr>
          <w:rFonts w:ascii="Franklin Gothic Book" w:hAnsi="Franklin Gothic Book" w:cs="Arial"/>
          <w:sz w:val="20"/>
        </w:rPr>
        <w:t xml:space="preserve"> version. An update to </w:t>
      </w:r>
      <w:proofErr w:type="spellStart"/>
      <w:r>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E060F5" w:rsidRPr="00330D57">
        <w:rPr>
          <w:rFonts w:ascii="Franklin Gothic Book" w:hAnsi="Franklin Gothic Book" w:cs="Arial"/>
          <w:sz w:val="20"/>
        </w:rPr>
        <w:t xml:space="preserve"> Version </w:t>
      </w:r>
      <w:r w:rsidR="00656B50">
        <w:rPr>
          <w:rFonts w:ascii="Franklin Gothic Book" w:hAnsi="Franklin Gothic Book" w:cs="Arial"/>
          <w:sz w:val="20"/>
        </w:rPr>
        <w:t>42</w:t>
      </w:r>
      <w:r w:rsidR="00656B50" w:rsidRPr="00330D57">
        <w:rPr>
          <w:rFonts w:ascii="Franklin Gothic Book" w:hAnsi="Franklin Gothic Book" w:cs="Arial"/>
          <w:sz w:val="20"/>
        </w:rPr>
        <w:t xml:space="preserve"> </w:t>
      </w:r>
      <w:r w:rsidR="00443ABE" w:rsidRPr="00330D57">
        <w:rPr>
          <w:rFonts w:ascii="Franklin Gothic Book" w:hAnsi="Franklin Gothic Book" w:cs="Arial"/>
          <w:sz w:val="20"/>
        </w:rPr>
        <w:t>has not been determined at this time</w:t>
      </w:r>
      <w:r w:rsidR="00E060F5" w:rsidRPr="00330D57">
        <w:rPr>
          <w:rFonts w:ascii="Franklin Gothic Book" w:hAnsi="Franklin Gothic Book" w:cs="Arial"/>
          <w:sz w:val="20"/>
        </w:rPr>
        <w:t>.</w:t>
      </w:r>
    </w:p>
    <w:p w14:paraId="184CC506" w14:textId="77777777" w:rsidR="00E62AD7" w:rsidRPr="00330D57" w:rsidRDefault="00E62AD7" w:rsidP="00110CA9">
      <w:pPr>
        <w:pStyle w:val="ListParagraph"/>
        <w:spacing w:after="120" w:line="240" w:lineRule="auto"/>
        <w:ind w:left="360"/>
        <w:rPr>
          <w:rFonts w:ascii="Franklin Gothic Book" w:hAnsi="Franklin Gothic Book" w:cs="Arial"/>
          <w:sz w:val="20"/>
        </w:rPr>
      </w:pPr>
    </w:p>
    <w:p w14:paraId="6F9118B0" w14:textId="77777777" w:rsidR="00EF511A" w:rsidRPr="00330D57" w:rsidRDefault="00EF511A" w:rsidP="00110CA9">
      <w:pPr>
        <w:pStyle w:val="ListParagraph"/>
        <w:spacing w:after="120" w:line="240" w:lineRule="auto"/>
        <w:ind w:left="360"/>
        <w:rPr>
          <w:rFonts w:ascii="Franklin Gothic Book" w:hAnsi="Franklin Gothic Book" w:cs="Arial"/>
          <w:sz w:val="20"/>
        </w:rPr>
      </w:pPr>
    </w:p>
    <w:p w14:paraId="7573A2BD" w14:textId="47F4F4C2" w:rsidR="00E540CF" w:rsidRPr="00330D57" w:rsidRDefault="00E540CF"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Do hospitals need to </w:t>
      </w:r>
      <w:r w:rsidR="00B300D7" w:rsidRPr="00330D57">
        <w:rPr>
          <w:rFonts w:ascii="Franklin Gothic Book" w:hAnsi="Franklin Gothic Book" w:cs="Arial"/>
          <w:b/>
          <w:color w:val="38939B"/>
          <w:sz w:val="24"/>
        </w:rPr>
        <w:t>purchase</w:t>
      </w:r>
      <w:r w:rsidRPr="00330D57">
        <w:rPr>
          <w:rFonts w:ascii="Franklin Gothic Book" w:hAnsi="Franklin Gothic Book" w:cs="Arial"/>
          <w:b/>
          <w:color w:val="38939B"/>
          <w:sz w:val="24"/>
        </w:rPr>
        <w:t xml:space="preserve"> </w:t>
      </w:r>
      <w:proofErr w:type="spellStart"/>
      <w:r w:rsidR="001723CE">
        <w:rPr>
          <w:rFonts w:ascii="Franklin Gothic Book" w:hAnsi="Franklin Gothic Book" w:cs="Arial"/>
          <w:b/>
          <w:color w:val="38939B"/>
          <w:sz w:val="24"/>
        </w:rPr>
        <w:t>Solventum</w:t>
      </w:r>
      <w:proofErr w:type="spellEnd"/>
      <w:r w:rsidR="0072193E" w:rsidRPr="00330D57">
        <w:rPr>
          <w:rFonts w:ascii="Franklin Gothic Book" w:hAnsi="Franklin Gothic Book" w:cs="Arial"/>
          <w:b/>
          <w:color w:val="38939B"/>
          <w:sz w:val="24"/>
        </w:rPr>
        <w:t xml:space="preserve"> </w:t>
      </w:r>
      <w:r w:rsidR="00423B12">
        <w:rPr>
          <w:rFonts w:ascii="Franklin Gothic Book" w:hAnsi="Franklin Gothic Book" w:cs="Arial"/>
          <w:b/>
          <w:color w:val="38939B"/>
          <w:sz w:val="24"/>
        </w:rPr>
        <w:t>APR DRG</w:t>
      </w:r>
      <w:r w:rsidRPr="00330D57">
        <w:rPr>
          <w:rFonts w:ascii="Franklin Gothic Book" w:hAnsi="Franklin Gothic Book" w:cs="Arial"/>
          <w:b/>
          <w:color w:val="38939B"/>
          <w:sz w:val="24"/>
        </w:rPr>
        <w:t xml:space="preserve"> software?</w:t>
      </w:r>
    </w:p>
    <w:p w14:paraId="70371A21" w14:textId="57F418B6" w:rsidR="00E540CF" w:rsidRPr="00330D57" w:rsidRDefault="00E540CF"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lastRenderedPageBreak/>
        <w:t xml:space="preserve">No.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assignments and payment </w:t>
      </w:r>
      <w:r w:rsidR="00712BA6" w:rsidRPr="00330D57">
        <w:rPr>
          <w:rFonts w:ascii="Franklin Gothic Book" w:hAnsi="Franklin Gothic Book" w:cs="Arial"/>
          <w:sz w:val="20"/>
        </w:rPr>
        <w:t xml:space="preserve">calculations </w:t>
      </w:r>
      <w:r w:rsidRPr="00330D57">
        <w:rPr>
          <w:rFonts w:ascii="Franklin Gothic Book" w:hAnsi="Franklin Gothic Book" w:cs="Arial"/>
          <w:sz w:val="20"/>
        </w:rPr>
        <w:t xml:space="preserve">are derived for information on inpatient UB-04 claims. </w:t>
      </w:r>
      <w:r w:rsidR="00712BA6" w:rsidRPr="00330D57">
        <w:rPr>
          <w:rFonts w:ascii="Franklin Gothic Book" w:hAnsi="Franklin Gothic Book" w:cs="Arial"/>
          <w:sz w:val="20"/>
        </w:rPr>
        <w:t xml:space="preserve">Hospitals do not need to </w:t>
      </w:r>
      <w:r w:rsidR="008A0825" w:rsidRPr="00330D57">
        <w:rPr>
          <w:rFonts w:ascii="Franklin Gothic Book" w:hAnsi="Franklin Gothic Book" w:cs="Arial"/>
          <w:sz w:val="20"/>
        </w:rPr>
        <w:t xml:space="preserve">code </w:t>
      </w:r>
      <w:r w:rsidR="00712BA6" w:rsidRPr="00330D57">
        <w:rPr>
          <w:rFonts w:ascii="Franklin Gothic Book" w:hAnsi="Franklin Gothic Book" w:cs="Arial"/>
          <w:sz w:val="20"/>
        </w:rPr>
        <w:t xml:space="preserve">the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712BA6" w:rsidRPr="00330D57">
        <w:rPr>
          <w:rFonts w:ascii="Franklin Gothic Book" w:hAnsi="Franklin Gothic Book" w:cs="Arial"/>
          <w:sz w:val="20"/>
        </w:rPr>
        <w:t xml:space="preserve"> assignment on the claim. Hospitals may choose to purchase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00712BA6" w:rsidRPr="00330D57">
        <w:rPr>
          <w:rFonts w:ascii="Franklin Gothic Book" w:hAnsi="Franklin Gothic Book" w:cs="Arial"/>
          <w:sz w:val="20"/>
        </w:rPr>
        <w:t xml:space="preserve"> software in order to estimate what their payments will be.</w:t>
      </w:r>
    </w:p>
    <w:p w14:paraId="0CF24C5E" w14:textId="77777777" w:rsidR="00712BA6" w:rsidRPr="00330D57" w:rsidRDefault="00712BA6" w:rsidP="00110CA9">
      <w:pPr>
        <w:pStyle w:val="ListParagraph"/>
        <w:spacing w:after="120" w:line="240" w:lineRule="auto"/>
        <w:ind w:left="360"/>
        <w:rPr>
          <w:rFonts w:ascii="Franklin Gothic Book" w:hAnsi="Franklin Gothic Book" w:cs="Arial"/>
          <w:sz w:val="20"/>
        </w:rPr>
      </w:pPr>
    </w:p>
    <w:p w14:paraId="466866AC" w14:textId="77777777" w:rsidR="00E540CF" w:rsidRPr="00330D57" w:rsidRDefault="00E540CF"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Is the present-on-admission (POA) indicator to be used?</w:t>
      </w:r>
    </w:p>
    <w:p w14:paraId="2E37BAFD" w14:textId="77777777" w:rsidR="00E540CF" w:rsidRPr="00330D57" w:rsidRDefault="00E540CF"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Yes. Hospitals should submit valid values for POA indicators.</w:t>
      </w:r>
    </w:p>
    <w:p w14:paraId="2B0D41F8" w14:textId="77777777" w:rsidR="00712BA6" w:rsidRPr="00330D57" w:rsidRDefault="00712BA6" w:rsidP="00110CA9">
      <w:pPr>
        <w:pStyle w:val="ListParagraph"/>
        <w:spacing w:after="120" w:line="240" w:lineRule="auto"/>
        <w:ind w:left="360"/>
        <w:rPr>
          <w:rFonts w:ascii="Franklin Gothic Book" w:hAnsi="Franklin Gothic Book" w:cs="Arial"/>
          <w:sz w:val="20"/>
        </w:rPr>
      </w:pPr>
    </w:p>
    <w:p w14:paraId="36A89A91" w14:textId="77777777" w:rsidR="00E540CF" w:rsidRPr="00330D57" w:rsidRDefault="00E540CF" w:rsidP="00110CA9">
      <w:pPr>
        <w:pStyle w:val="ListParagraph"/>
        <w:numPr>
          <w:ilvl w:val="0"/>
          <w:numId w:val="1"/>
        </w:numPr>
        <w:spacing w:after="120" w:line="240" w:lineRule="auto"/>
        <w:ind w:left="360"/>
        <w:rPr>
          <w:rFonts w:ascii="Franklin Gothic Book" w:hAnsi="Franklin Gothic Book" w:cs="Arial"/>
          <w:b/>
          <w:color w:val="38939B"/>
          <w:sz w:val="24"/>
        </w:rPr>
      </w:pPr>
      <w:r w:rsidRPr="00330D57">
        <w:rPr>
          <w:rFonts w:ascii="Franklin Gothic Book" w:hAnsi="Franklin Gothic Book" w:cs="Arial"/>
          <w:b/>
          <w:color w:val="38939B"/>
          <w:sz w:val="24"/>
        </w:rPr>
        <w:t xml:space="preserve">How is payment affected if a </w:t>
      </w:r>
      <w:proofErr w:type="gramStart"/>
      <w:r w:rsidRPr="00330D57">
        <w:rPr>
          <w:rFonts w:ascii="Franklin Gothic Book" w:hAnsi="Franklin Gothic Book" w:cs="Arial"/>
          <w:b/>
          <w:color w:val="38939B"/>
          <w:sz w:val="24"/>
        </w:rPr>
        <w:t>health-care</w:t>
      </w:r>
      <w:proofErr w:type="gramEnd"/>
      <w:r w:rsidRPr="00330D57">
        <w:rPr>
          <w:rFonts w:ascii="Franklin Gothic Book" w:hAnsi="Franklin Gothic Book" w:cs="Arial"/>
          <w:b/>
          <w:color w:val="38939B"/>
          <w:sz w:val="24"/>
        </w:rPr>
        <w:t xml:space="preserve"> acquired condition (HCAC) is included </w:t>
      </w:r>
      <w:proofErr w:type="gramStart"/>
      <w:r w:rsidRPr="00330D57">
        <w:rPr>
          <w:rFonts w:ascii="Franklin Gothic Book" w:hAnsi="Franklin Gothic Book" w:cs="Arial"/>
          <w:b/>
          <w:color w:val="38939B"/>
          <w:sz w:val="24"/>
        </w:rPr>
        <w:t>on</w:t>
      </w:r>
      <w:proofErr w:type="gramEnd"/>
      <w:r w:rsidRPr="00330D57">
        <w:rPr>
          <w:rFonts w:ascii="Franklin Gothic Book" w:hAnsi="Franklin Gothic Book" w:cs="Arial"/>
          <w:b/>
          <w:color w:val="38939B"/>
          <w:sz w:val="24"/>
        </w:rPr>
        <w:t xml:space="preserve"> a claim?</w:t>
      </w:r>
    </w:p>
    <w:p w14:paraId="7D3E6D7C" w14:textId="5D73B401" w:rsidR="00E540CF" w:rsidRPr="00330D57" w:rsidRDefault="00712BA6" w:rsidP="00110CA9">
      <w:pPr>
        <w:pStyle w:val="ListParagraph"/>
        <w:spacing w:after="120" w:line="240" w:lineRule="auto"/>
        <w:ind w:left="360"/>
        <w:rPr>
          <w:rFonts w:ascii="Franklin Gothic Book" w:hAnsi="Franklin Gothic Book" w:cs="Arial"/>
          <w:sz w:val="20"/>
        </w:rPr>
      </w:pPr>
      <w:r w:rsidRPr="00330D57">
        <w:rPr>
          <w:rFonts w:ascii="Franklin Gothic Book" w:hAnsi="Franklin Gothic Book" w:cs="Arial"/>
          <w:sz w:val="20"/>
        </w:rPr>
        <w:t xml:space="preserve">Payment for HCACs is prohibited under federal law. HCACs will be identified using the </w:t>
      </w:r>
      <w:proofErr w:type="spellStart"/>
      <w:r w:rsidR="001723CE">
        <w:rPr>
          <w:rFonts w:ascii="Franklin Gothic Book" w:hAnsi="Franklin Gothic Book" w:cs="Arial"/>
          <w:sz w:val="20"/>
        </w:rPr>
        <w:t>Solventum</w:t>
      </w:r>
      <w:proofErr w:type="spellEnd"/>
      <w:r w:rsidRPr="00330D57">
        <w:rPr>
          <w:rFonts w:ascii="Franklin Gothic Book" w:hAnsi="Franklin Gothic Book" w:cs="Arial"/>
          <w:sz w:val="20"/>
        </w:rPr>
        <w:t xml:space="preserve"> HAC utility. The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software will regroup claims with the HCAC removed. If a different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or SOI is assigned, payment is recalculated based on the new </w:t>
      </w:r>
      <w:proofErr w:type="spellStart"/>
      <w:r w:rsidR="001723CE">
        <w:rPr>
          <w:rFonts w:ascii="Franklin Gothic Book" w:hAnsi="Franklin Gothic Book" w:cs="Arial"/>
          <w:sz w:val="20"/>
        </w:rPr>
        <w:t>Solventum</w:t>
      </w:r>
      <w:proofErr w:type="spellEnd"/>
      <w:r w:rsidR="0072193E" w:rsidRPr="00330D57">
        <w:rPr>
          <w:rFonts w:ascii="Franklin Gothic Book" w:hAnsi="Franklin Gothic Book" w:cs="Arial"/>
          <w:sz w:val="20"/>
        </w:rPr>
        <w:t xml:space="preserve"> </w:t>
      </w:r>
      <w:r w:rsidR="00423B12">
        <w:rPr>
          <w:rFonts w:ascii="Franklin Gothic Book" w:hAnsi="Franklin Gothic Book" w:cs="Arial"/>
          <w:sz w:val="20"/>
        </w:rPr>
        <w:t>APR DRG</w:t>
      </w:r>
      <w:r w:rsidRPr="00330D57">
        <w:rPr>
          <w:rFonts w:ascii="Franklin Gothic Book" w:hAnsi="Franklin Gothic Book" w:cs="Arial"/>
          <w:sz w:val="20"/>
        </w:rPr>
        <w:t xml:space="preserve"> assignment.</w:t>
      </w:r>
    </w:p>
    <w:p w14:paraId="1B57C28B" w14:textId="2C6D11D9" w:rsidR="00BF54B0" w:rsidRPr="00330D57" w:rsidRDefault="00BF54B0" w:rsidP="00110CA9">
      <w:pPr>
        <w:pStyle w:val="ListParagraph"/>
        <w:spacing w:after="120" w:line="240" w:lineRule="auto"/>
        <w:ind w:left="360"/>
        <w:rPr>
          <w:rFonts w:ascii="Franklin Gothic Book" w:hAnsi="Franklin Gothic Book" w:cs="Arial"/>
          <w:sz w:val="20"/>
        </w:rPr>
      </w:pPr>
    </w:p>
    <w:p w14:paraId="31BAB78C" w14:textId="25B34EB1" w:rsidR="00855924" w:rsidRPr="00330D57" w:rsidRDefault="00855924">
      <w:pPr>
        <w:spacing w:after="120" w:line="240" w:lineRule="auto"/>
        <w:rPr>
          <w:rFonts w:ascii="Franklin Gothic Book" w:hAnsi="Franklin Gothic Book" w:cs="Arial"/>
          <w:sz w:val="20"/>
        </w:rPr>
      </w:pPr>
    </w:p>
    <w:sectPr w:rsidR="00855924" w:rsidRPr="00330D57" w:rsidSect="004B4D05">
      <w:headerReference w:type="default" r:id="rId13"/>
      <w:footerReference w:type="first" r:id="rId14"/>
      <w:pgSz w:w="12240" w:h="15840"/>
      <w:pgMar w:top="135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7317A" w14:textId="77777777" w:rsidR="00DE037C" w:rsidRDefault="00DE037C" w:rsidP="001B4208">
      <w:pPr>
        <w:spacing w:after="0" w:line="240" w:lineRule="auto"/>
      </w:pPr>
      <w:r>
        <w:separator/>
      </w:r>
    </w:p>
  </w:endnote>
  <w:endnote w:type="continuationSeparator" w:id="0">
    <w:p w14:paraId="7425290C" w14:textId="77777777" w:rsidR="00DE037C" w:rsidRDefault="00DE037C" w:rsidP="001B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E94A" w14:textId="483D8B89" w:rsidR="00DE037C" w:rsidRDefault="00DE037C">
    <w:pPr>
      <w:pStyle w:val="Footer"/>
    </w:pPr>
    <w:r w:rsidRPr="001B4208">
      <w:rPr>
        <w:noProof/>
      </w:rPr>
      <mc:AlternateContent>
        <mc:Choice Requires="wps">
          <w:drawing>
            <wp:anchor distT="45720" distB="45720" distL="114300" distR="114300" simplePos="0" relativeHeight="251665408" behindDoc="0" locked="0" layoutInCell="1" allowOverlap="1" wp14:anchorId="10AAF770" wp14:editId="2DD34626">
              <wp:simplePos x="0" y="0"/>
              <wp:positionH relativeFrom="column">
                <wp:posOffset>4287907</wp:posOffset>
              </wp:positionH>
              <wp:positionV relativeFrom="paragraph">
                <wp:posOffset>-10677</wp:posOffset>
              </wp:positionV>
              <wp:extent cx="2038350" cy="25590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5905"/>
                      </a:xfrm>
                      <a:prstGeom prst="rect">
                        <a:avLst/>
                      </a:prstGeom>
                      <a:solidFill>
                        <a:srgbClr val="FFFFFF"/>
                      </a:solidFill>
                      <a:ln w="9525">
                        <a:noFill/>
                        <a:miter lim="800000"/>
                        <a:headEnd/>
                        <a:tailEnd/>
                      </a:ln>
                    </wps:spPr>
                    <wps:txbx>
                      <w:txbxContent>
                        <w:p w14:paraId="78EA4021" w14:textId="63D8BAD1" w:rsidR="00DE037C" w:rsidRDefault="00DE037C" w:rsidP="004B4D05">
                          <w:pPr>
                            <w:jc w:val="right"/>
                          </w:pPr>
                          <w:r>
                            <w:rPr>
                              <w:sz w:val="18"/>
                              <w:szCs w:val="18"/>
                            </w:rPr>
                            <w:t xml:space="preserve"> </w:t>
                          </w:r>
                          <w:r w:rsidRPr="004C3970">
                            <w:rPr>
                              <w:sz w:val="18"/>
                              <w:szCs w:val="18"/>
                            </w:rPr>
                            <w:t xml:space="preserve">Page </w:t>
                          </w:r>
                          <w:r w:rsidRPr="004C3970">
                            <w:rPr>
                              <w:sz w:val="18"/>
                              <w:szCs w:val="18"/>
                            </w:rPr>
                            <w:fldChar w:fldCharType="begin"/>
                          </w:r>
                          <w:r w:rsidRPr="004C3970">
                            <w:rPr>
                              <w:sz w:val="18"/>
                              <w:szCs w:val="18"/>
                            </w:rPr>
                            <w:instrText xml:space="preserve"> PAGE   \* MERGEFORMAT </w:instrText>
                          </w:r>
                          <w:r w:rsidRPr="004C3970">
                            <w:rPr>
                              <w:sz w:val="18"/>
                              <w:szCs w:val="18"/>
                            </w:rPr>
                            <w:fldChar w:fldCharType="separate"/>
                          </w:r>
                          <w:r>
                            <w:rPr>
                              <w:noProof/>
                              <w:sz w:val="18"/>
                              <w:szCs w:val="18"/>
                            </w:rPr>
                            <w:t>1</w:t>
                          </w:r>
                          <w:r w:rsidRPr="004C3970">
                            <w:rPr>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AF770" id="_x0000_t202" coordsize="21600,21600" o:spt="202" path="m,l,21600r21600,l21600,xe">
              <v:stroke joinstyle="miter"/>
              <v:path gradientshapeok="t" o:connecttype="rect"/>
            </v:shapetype>
            <v:shape id="Text Box 2" o:spid="_x0000_s1026" type="#_x0000_t202" style="position:absolute;margin-left:337.65pt;margin-top:-.85pt;width:160.5pt;height:20.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KBDAIAAPYDAAAOAAAAZHJzL2Uyb0RvYy54bWysU9uO0zAQfUfiHyy/06TZBtqo6WrpUoS0&#10;XKSFD3AcJ7FwPMZ2m5SvZ+xkuwXeEH6wPJ7xmZkzx9vbsVfkJKyToEu6XKSUCM2hlrot6bevh1dr&#10;SpxnumYKtCjpWTh6u3v5YjuYQmTQgaqFJQiiXTGYknbemyJJHO9Ez9wCjNDobMD2zKNp26S2bED0&#10;XiVZmr5OBrC1scCFc3h7PznpLuI3jeD+c9M44YkqKdbm427jXoU92W1Z0VpmOsnnMtg/VNEzqTHp&#10;BeqeeUaOVv4F1UtuwUHjFxz6BJpGchF7wG6W6R/dPHbMiNgLkuPMhSb3/2D5p9Oj+WKJH9/CiAOM&#10;TTjzAPy7Ixr2HdOtuLMWhk6wGhMvA2XJYFwxPw1Uu8IFkGr4CDUOmR09RKCxsX1gBfskiI4DOF9I&#10;F6MnHC+z9GZ9k6OLoy/L802axxSseHptrPPvBfQkHEpqcagRnZ0enA/VsOIpJCRzoGR9kEpFw7bV&#10;XllyYiiAQ1wz+m9hSpOhpJs8yyOyhvA+aqOXHgWqZF/SdRrWJJnAxjtdxxDPpJrOWInSMz2BkYkb&#10;P1YjBgaaKqjPSJSFSYj4cfDQgf1JyYAiLKn7cWRWUKI+aCR7s1ytgmqjscrfZGjYa0917WGaI1RJ&#10;PSXTce+j0gMPGu5wKI2MfD1XMteK4oo0zh8hqPfajlHP33X3CwAA//8DAFBLAwQUAAYACAAAACEA&#10;iK4I494AAAAJAQAADwAAAGRycy9kb3ducmV2LnhtbEyPwU7DMAyG70i8Q2QkLmhLx1i6lroTIIG4&#10;buwB3MZrK5qkarK1e3vCCY62P/3+/mI3m15cePSdswirZQKCbe10ZxuE49f7YgvCB7KaemcZ4coe&#10;duXtTUG5dpPd8+UQGhFDrM8JoQ1hyKX0dcuG/NINbOPt5EZDIY5jI/VIUww3vXxMEiUNdTZ+aGng&#10;t5br78PZIJw+p4dNNlUf4Zjun9QrdWnlroj3d/PLM4jAc/iD4Vc/qkMZnSp3ttqLHkGlm3VEERar&#10;FEQEskzFRYWw3iqQZSH/Nyh/AAAA//8DAFBLAQItABQABgAIAAAAIQC2gziS/gAAAOEBAAATAAAA&#10;AAAAAAAAAAAAAAAAAABbQ29udGVudF9UeXBlc10ueG1sUEsBAi0AFAAGAAgAAAAhADj9If/WAAAA&#10;lAEAAAsAAAAAAAAAAAAAAAAALwEAAF9yZWxzLy5yZWxzUEsBAi0AFAAGAAgAAAAhAJx4koEMAgAA&#10;9gMAAA4AAAAAAAAAAAAAAAAALgIAAGRycy9lMm9Eb2MueG1sUEsBAi0AFAAGAAgAAAAhAIiuCOPe&#10;AAAACQEAAA8AAAAAAAAAAAAAAAAAZgQAAGRycy9kb3ducmV2LnhtbFBLBQYAAAAABAAEAPMAAABx&#10;BQAAAAA=&#10;" stroked="f">
              <v:textbox>
                <w:txbxContent>
                  <w:p w14:paraId="78EA4021" w14:textId="63D8BAD1" w:rsidR="00DE037C" w:rsidRDefault="00DE037C" w:rsidP="004B4D05">
                    <w:pPr>
                      <w:jc w:val="right"/>
                    </w:pPr>
                    <w:r>
                      <w:rPr>
                        <w:sz w:val="18"/>
                        <w:szCs w:val="18"/>
                      </w:rPr>
                      <w:t xml:space="preserve"> </w:t>
                    </w:r>
                    <w:r w:rsidRPr="004C3970">
                      <w:rPr>
                        <w:sz w:val="18"/>
                        <w:szCs w:val="18"/>
                      </w:rPr>
                      <w:t xml:space="preserve">Page </w:t>
                    </w:r>
                    <w:r w:rsidRPr="004C3970">
                      <w:rPr>
                        <w:sz w:val="18"/>
                        <w:szCs w:val="18"/>
                      </w:rPr>
                      <w:fldChar w:fldCharType="begin"/>
                    </w:r>
                    <w:r w:rsidRPr="004C3970">
                      <w:rPr>
                        <w:sz w:val="18"/>
                        <w:szCs w:val="18"/>
                      </w:rPr>
                      <w:instrText xml:space="preserve"> PAGE   \* MERGEFORMAT </w:instrText>
                    </w:r>
                    <w:r w:rsidRPr="004C3970">
                      <w:rPr>
                        <w:sz w:val="18"/>
                        <w:szCs w:val="18"/>
                      </w:rPr>
                      <w:fldChar w:fldCharType="separate"/>
                    </w:r>
                    <w:r>
                      <w:rPr>
                        <w:noProof/>
                        <w:sz w:val="18"/>
                        <w:szCs w:val="18"/>
                      </w:rPr>
                      <w:t>1</w:t>
                    </w:r>
                    <w:r w:rsidRPr="004C3970">
                      <w:rPr>
                        <w:sz w:val="18"/>
                        <w:szCs w:val="1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B3E3" w14:textId="77777777" w:rsidR="00DE037C" w:rsidRDefault="00DE037C" w:rsidP="001B4208">
      <w:pPr>
        <w:spacing w:after="0" w:line="240" w:lineRule="auto"/>
      </w:pPr>
      <w:r>
        <w:separator/>
      </w:r>
    </w:p>
  </w:footnote>
  <w:footnote w:type="continuationSeparator" w:id="0">
    <w:p w14:paraId="11A7ABC5" w14:textId="77777777" w:rsidR="00DE037C" w:rsidRDefault="00DE037C" w:rsidP="001B4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EEAE" w14:textId="52B90D03" w:rsidR="00DE037C" w:rsidRDefault="00DE037C">
    <w:pPr>
      <w:pStyle w:val="Header"/>
      <w:rPr>
        <w:rFonts w:ascii="Franklin Gothic Book" w:hAnsi="Franklin Gothic Book" w:cs="Arial"/>
        <w:i/>
        <w:sz w:val="24"/>
        <w:szCs w:val="24"/>
      </w:rPr>
    </w:pPr>
    <w:r w:rsidRPr="00330D57">
      <w:rPr>
        <w:rFonts w:ascii="Franklin Gothic Book" w:hAnsi="Franklin Gothic Book" w:cs="Arial"/>
        <w:i/>
        <w:sz w:val="24"/>
        <w:szCs w:val="24"/>
      </w:rPr>
      <w:t xml:space="preserve">DRG Payment Methodology for Inpatient Hospital Services </w:t>
    </w:r>
    <w:r>
      <w:rPr>
        <w:rFonts w:ascii="Franklin Gothic Book" w:hAnsi="Franklin Gothic Book" w:cs="Arial"/>
        <w:i/>
        <w:sz w:val="24"/>
        <w:szCs w:val="24"/>
      </w:rPr>
      <w:t>–</w:t>
    </w:r>
    <w:r w:rsidRPr="00330D57">
      <w:rPr>
        <w:rFonts w:ascii="Franklin Gothic Book" w:hAnsi="Franklin Gothic Book" w:cs="Arial"/>
        <w:i/>
        <w:sz w:val="24"/>
        <w:szCs w:val="24"/>
      </w:rPr>
      <w:t xml:space="preserve"> FAQs</w:t>
    </w:r>
  </w:p>
  <w:p w14:paraId="20350F26" w14:textId="6557E09D" w:rsidR="00DE037C" w:rsidRPr="008713FA" w:rsidRDefault="00DE037C" w:rsidP="008713FA">
    <w:pPr>
      <w:pStyle w:val="Footer"/>
      <w:rPr>
        <w:i/>
        <w:sz w:val="20"/>
        <w:szCs w:val="20"/>
      </w:rPr>
    </w:pPr>
    <w:r w:rsidRPr="008713FA">
      <w:rPr>
        <w:i/>
        <w:sz w:val="20"/>
        <w:szCs w:val="20"/>
      </w:rPr>
      <w:t xml:space="preserve">Page </w:t>
    </w:r>
    <w:r w:rsidRPr="008713FA">
      <w:rPr>
        <w:bCs/>
        <w:i/>
        <w:sz w:val="20"/>
        <w:szCs w:val="20"/>
      </w:rPr>
      <w:fldChar w:fldCharType="begin"/>
    </w:r>
    <w:r w:rsidRPr="008713FA">
      <w:rPr>
        <w:bCs/>
        <w:i/>
        <w:sz w:val="20"/>
        <w:szCs w:val="20"/>
      </w:rPr>
      <w:instrText xml:space="preserve"> PAGE  \* Arabic  \* MERGEFORMAT </w:instrText>
    </w:r>
    <w:r w:rsidRPr="008713FA">
      <w:rPr>
        <w:bCs/>
        <w:i/>
        <w:sz w:val="20"/>
        <w:szCs w:val="20"/>
      </w:rPr>
      <w:fldChar w:fldCharType="separate"/>
    </w:r>
    <w:r w:rsidR="000A396E">
      <w:rPr>
        <w:bCs/>
        <w:i/>
        <w:noProof/>
        <w:sz w:val="20"/>
        <w:szCs w:val="20"/>
      </w:rPr>
      <w:t>4</w:t>
    </w:r>
    <w:r w:rsidRPr="008713FA">
      <w:rPr>
        <w:bCs/>
        <w:i/>
        <w:sz w:val="20"/>
        <w:szCs w:val="20"/>
      </w:rPr>
      <w:fldChar w:fldCharType="end"/>
    </w:r>
    <w:r w:rsidRPr="008713FA">
      <w:rPr>
        <w:i/>
        <w:sz w:val="20"/>
        <w:szCs w:val="20"/>
      </w:rPr>
      <w:t xml:space="preserve"> of </w:t>
    </w:r>
    <w:r w:rsidRPr="008713FA">
      <w:rPr>
        <w:bCs/>
        <w:i/>
        <w:sz w:val="20"/>
        <w:szCs w:val="20"/>
      </w:rPr>
      <w:fldChar w:fldCharType="begin"/>
    </w:r>
    <w:r w:rsidRPr="008713FA">
      <w:rPr>
        <w:bCs/>
        <w:i/>
        <w:sz w:val="20"/>
        <w:szCs w:val="20"/>
      </w:rPr>
      <w:instrText xml:space="preserve"> NUMPAGES  \* Arabic  \* MERGEFORMAT </w:instrText>
    </w:r>
    <w:r w:rsidRPr="008713FA">
      <w:rPr>
        <w:bCs/>
        <w:i/>
        <w:sz w:val="20"/>
        <w:szCs w:val="20"/>
      </w:rPr>
      <w:fldChar w:fldCharType="separate"/>
    </w:r>
    <w:r w:rsidR="000A396E">
      <w:rPr>
        <w:bCs/>
        <w:i/>
        <w:noProof/>
        <w:sz w:val="20"/>
        <w:szCs w:val="20"/>
      </w:rPr>
      <w:t>10</w:t>
    </w:r>
    <w:r w:rsidRPr="008713FA">
      <w:rPr>
        <w:bCs/>
        <w:i/>
        <w:sz w:val="20"/>
        <w:szCs w:val="20"/>
      </w:rPr>
      <w:fldChar w:fldCharType="end"/>
    </w:r>
  </w:p>
  <w:p w14:paraId="62CA72F0" w14:textId="77777777" w:rsidR="00DE037C" w:rsidRDefault="00DE0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68C5"/>
    <w:multiLevelType w:val="hybridMultilevel"/>
    <w:tmpl w:val="78086280"/>
    <w:lvl w:ilvl="0" w:tplc="E5DA8F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0565"/>
    <w:multiLevelType w:val="hybridMultilevel"/>
    <w:tmpl w:val="D99CB078"/>
    <w:lvl w:ilvl="0" w:tplc="0409000F">
      <w:start w:val="1"/>
      <w:numFmt w:val="decimal"/>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877ED"/>
    <w:multiLevelType w:val="hybridMultilevel"/>
    <w:tmpl w:val="4260C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2141EB"/>
    <w:multiLevelType w:val="hybridMultilevel"/>
    <w:tmpl w:val="2FF4E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893E19"/>
    <w:multiLevelType w:val="hybridMultilevel"/>
    <w:tmpl w:val="F51A8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871B30"/>
    <w:multiLevelType w:val="hybridMultilevel"/>
    <w:tmpl w:val="6402FA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8763837">
    <w:abstractNumId w:val="1"/>
  </w:num>
  <w:num w:numId="2" w16cid:durableId="1978797122">
    <w:abstractNumId w:val="3"/>
  </w:num>
  <w:num w:numId="3" w16cid:durableId="755444140">
    <w:abstractNumId w:val="5"/>
  </w:num>
  <w:num w:numId="4" w16cid:durableId="321355128">
    <w:abstractNumId w:val="4"/>
  </w:num>
  <w:num w:numId="5" w16cid:durableId="701132408">
    <w:abstractNumId w:val="2"/>
  </w:num>
  <w:num w:numId="6" w16cid:durableId="152640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B7"/>
    <w:rsid w:val="000139B6"/>
    <w:rsid w:val="000147A8"/>
    <w:rsid w:val="000436C6"/>
    <w:rsid w:val="00045A7E"/>
    <w:rsid w:val="0007069D"/>
    <w:rsid w:val="00073F75"/>
    <w:rsid w:val="000924A9"/>
    <w:rsid w:val="000A396E"/>
    <w:rsid w:val="000B41EB"/>
    <w:rsid w:val="000B5007"/>
    <w:rsid w:val="000C0E34"/>
    <w:rsid w:val="000D03AB"/>
    <w:rsid w:val="000D32F3"/>
    <w:rsid w:val="000E5514"/>
    <w:rsid w:val="000F1137"/>
    <w:rsid w:val="000F1E12"/>
    <w:rsid w:val="00110CA9"/>
    <w:rsid w:val="00127763"/>
    <w:rsid w:val="00132030"/>
    <w:rsid w:val="00137B75"/>
    <w:rsid w:val="001723CE"/>
    <w:rsid w:val="001A6322"/>
    <w:rsid w:val="001B4208"/>
    <w:rsid w:val="001E1A99"/>
    <w:rsid w:val="001E28B5"/>
    <w:rsid w:val="001E2F6E"/>
    <w:rsid w:val="00206064"/>
    <w:rsid w:val="002239BC"/>
    <w:rsid w:val="002320FD"/>
    <w:rsid w:val="002559A6"/>
    <w:rsid w:val="00257807"/>
    <w:rsid w:val="00276742"/>
    <w:rsid w:val="00295BE3"/>
    <w:rsid w:val="002967D6"/>
    <w:rsid w:val="002A41B1"/>
    <w:rsid w:val="002A4265"/>
    <w:rsid w:val="002A6969"/>
    <w:rsid w:val="002B1DD8"/>
    <w:rsid w:val="002C7BB8"/>
    <w:rsid w:val="002D2741"/>
    <w:rsid w:val="002F19E7"/>
    <w:rsid w:val="003035A3"/>
    <w:rsid w:val="00313AD2"/>
    <w:rsid w:val="003165DA"/>
    <w:rsid w:val="00317776"/>
    <w:rsid w:val="00324096"/>
    <w:rsid w:val="00330D57"/>
    <w:rsid w:val="003567E3"/>
    <w:rsid w:val="00361C8A"/>
    <w:rsid w:val="00377257"/>
    <w:rsid w:val="003811B4"/>
    <w:rsid w:val="003872B7"/>
    <w:rsid w:val="003A37B7"/>
    <w:rsid w:val="003C55A6"/>
    <w:rsid w:val="003E35C5"/>
    <w:rsid w:val="003E5EF8"/>
    <w:rsid w:val="003F2626"/>
    <w:rsid w:val="00401331"/>
    <w:rsid w:val="0040779C"/>
    <w:rsid w:val="00423B12"/>
    <w:rsid w:val="004258B8"/>
    <w:rsid w:val="00427F35"/>
    <w:rsid w:val="0043617A"/>
    <w:rsid w:val="00437522"/>
    <w:rsid w:val="0044005E"/>
    <w:rsid w:val="00443ABE"/>
    <w:rsid w:val="00474D09"/>
    <w:rsid w:val="004A3B43"/>
    <w:rsid w:val="004B4D05"/>
    <w:rsid w:val="004C3970"/>
    <w:rsid w:val="004E7C9B"/>
    <w:rsid w:val="00502252"/>
    <w:rsid w:val="00504C55"/>
    <w:rsid w:val="00512A9C"/>
    <w:rsid w:val="00520D08"/>
    <w:rsid w:val="00530D30"/>
    <w:rsid w:val="0054246E"/>
    <w:rsid w:val="00545532"/>
    <w:rsid w:val="00547B26"/>
    <w:rsid w:val="00555B91"/>
    <w:rsid w:val="00563BFF"/>
    <w:rsid w:val="0057153F"/>
    <w:rsid w:val="00571BBF"/>
    <w:rsid w:val="00575DF6"/>
    <w:rsid w:val="00577765"/>
    <w:rsid w:val="00582714"/>
    <w:rsid w:val="00585C51"/>
    <w:rsid w:val="005B0177"/>
    <w:rsid w:val="005D1F4A"/>
    <w:rsid w:val="005D42D9"/>
    <w:rsid w:val="005D6465"/>
    <w:rsid w:val="005F6E14"/>
    <w:rsid w:val="0061274B"/>
    <w:rsid w:val="00640DEA"/>
    <w:rsid w:val="00656B50"/>
    <w:rsid w:val="00657EE4"/>
    <w:rsid w:val="00666A27"/>
    <w:rsid w:val="006937C1"/>
    <w:rsid w:val="006950A3"/>
    <w:rsid w:val="006A7058"/>
    <w:rsid w:val="006B347A"/>
    <w:rsid w:val="006D443E"/>
    <w:rsid w:val="006E1F59"/>
    <w:rsid w:val="006E44C5"/>
    <w:rsid w:val="006F0E1E"/>
    <w:rsid w:val="0070126C"/>
    <w:rsid w:val="00712BA6"/>
    <w:rsid w:val="00720D6E"/>
    <w:rsid w:val="0072193E"/>
    <w:rsid w:val="00727E7C"/>
    <w:rsid w:val="007332AA"/>
    <w:rsid w:val="00734433"/>
    <w:rsid w:val="007363F2"/>
    <w:rsid w:val="00756DDD"/>
    <w:rsid w:val="007A11B6"/>
    <w:rsid w:val="007D0DE6"/>
    <w:rsid w:val="007D4141"/>
    <w:rsid w:val="007D73F6"/>
    <w:rsid w:val="007E77D8"/>
    <w:rsid w:val="007F4239"/>
    <w:rsid w:val="007F7895"/>
    <w:rsid w:val="00804047"/>
    <w:rsid w:val="008054D1"/>
    <w:rsid w:val="0080798C"/>
    <w:rsid w:val="0081309A"/>
    <w:rsid w:val="00820873"/>
    <w:rsid w:val="00826301"/>
    <w:rsid w:val="00827CD6"/>
    <w:rsid w:val="00831251"/>
    <w:rsid w:val="00837CCC"/>
    <w:rsid w:val="00854908"/>
    <w:rsid w:val="00855924"/>
    <w:rsid w:val="008713FA"/>
    <w:rsid w:val="00872EA4"/>
    <w:rsid w:val="00875C42"/>
    <w:rsid w:val="00882551"/>
    <w:rsid w:val="008A0825"/>
    <w:rsid w:val="008A77DA"/>
    <w:rsid w:val="008B5DAE"/>
    <w:rsid w:val="008E77FC"/>
    <w:rsid w:val="008F7E36"/>
    <w:rsid w:val="009578EA"/>
    <w:rsid w:val="009738ED"/>
    <w:rsid w:val="0098213C"/>
    <w:rsid w:val="00982A55"/>
    <w:rsid w:val="009E0CD7"/>
    <w:rsid w:val="009E1A0E"/>
    <w:rsid w:val="00A0036E"/>
    <w:rsid w:val="00A02557"/>
    <w:rsid w:val="00A121C0"/>
    <w:rsid w:val="00A16D51"/>
    <w:rsid w:val="00A223D3"/>
    <w:rsid w:val="00A663E2"/>
    <w:rsid w:val="00A70FD3"/>
    <w:rsid w:val="00A723E3"/>
    <w:rsid w:val="00A93BAF"/>
    <w:rsid w:val="00AA10A7"/>
    <w:rsid w:val="00B300D7"/>
    <w:rsid w:val="00B34BC0"/>
    <w:rsid w:val="00B350E9"/>
    <w:rsid w:val="00B5665A"/>
    <w:rsid w:val="00B750BD"/>
    <w:rsid w:val="00B81A5E"/>
    <w:rsid w:val="00BC2CBD"/>
    <w:rsid w:val="00BC7F6F"/>
    <w:rsid w:val="00BF0E17"/>
    <w:rsid w:val="00BF54B0"/>
    <w:rsid w:val="00C06908"/>
    <w:rsid w:val="00C07029"/>
    <w:rsid w:val="00C17CD8"/>
    <w:rsid w:val="00C26078"/>
    <w:rsid w:val="00C41B77"/>
    <w:rsid w:val="00C632E9"/>
    <w:rsid w:val="00C642E4"/>
    <w:rsid w:val="00C7175C"/>
    <w:rsid w:val="00C76DF6"/>
    <w:rsid w:val="00CB0524"/>
    <w:rsid w:val="00CB3B9F"/>
    <w:rsid w:val="00CD5C62"/>
    <w:rsid w:val="00CD751E"/>
    <w:rsid w:val="00CE02D6"/>
    <w:rsid w:val="00CE74D6"/>
    <w:rsid w:val="00CF360D"/>
    <w:rsid w:val="00D17CC1"/>
    <w:rsid w:val="00D25F72"/>
    <w:rsid w:val="00D272F3"/>
    <w:rsid w:val="00D3760B"/>
    <w:rsid w:val="00D37C0E"/>
    <w:rsid w:val="00D55575"/>
    <w:rsid w:val="00D61855"/>
    <w:rsid w:val="00DA02B0"/>
    <w:rsid w:val="00DB66FC"/>
    <w:rsid w:val="00DB6BCA"/>
    <w:rsid w:val="00DE037C"/>
    <w:rsid w:val="00DE1E55"/>
    <w:rsid w:val="00DE36D0"/>
    <w:rsid w:val="00E01E26"/>
    <w:rsid w:val="00E045E1"/>
    <w:rsid w:val="00E060F5"/>
    <w:rsid w:val="00E15300"/>
    <w:rsid w:val="00E20407"/>
    <w:rsid w:val="00E219DD"/>
    <w:rsid w:val="00E35271"/>
    <w:rsid w:val="00E413D6"/>
    <w:rsid w:val="00E540CF"/>
    <w:rsid w:val="00E566C7"/>
    <w:rsid w:val="00E62AD7"/>
    <w:rsid w:val="00E74ADC"/>
    <w:rsid w:val="00EA2A9A"/>
    <w:rsid w:val="00EA6C1B"/>
    <w:rsid w:val="00EF3EED"/>
    <w:rsid w:val="00EF511A"/>
    <w:rsid w:val="00F05B92"/>
    <w:rsid w:val="00F149BB"/>
    <w:rsid w:val="00F16FBF"/>
    <w:rsid w:val="00F222FE"/>
    <w:rsid w:val="00F3514C"/>
    <w:rsid w:val="00F41206"/>
    <w:rsid w:val="00F44A84"/>
    <w:rsid w:val="00F4726A"/>
    <w:rsid w:val="00F533FF"/>
    <w:rsid w:val="00F6218B"/>
    <w:rsid w:val="00F7469B"/>
    <w:rsid w:val="00F81117"/>
    <w:rsid w:val="00F81DAC"/>
    <w:rsid w:val="00F928A8"/>
    <w:rsid w:val="00F96CAA"/>
    <w:rsid w:val="00FA610B"/>
    <w:rsid w:val="00FB2BF8"/>
    <w:rsid w:val="00FB47F3"/>
    <w:rsid w:val="00FD4136"/>
    <w:rsid w:val="00FE5238"/>
    <w:rsid w:val="00FE5E71"/>
    <w:rsid w:val="00FF24DD"/>
    <w:rsid w:val="00FF261C"/>
    <w:rsid w:val="00FF4DC1"/>
    <w:rsid w:val="00FF5840"/>
    <w:rsid w:val="3F2A9D8C"/>
    <w:rsid w:val="40A4A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9EE2F4"/>
  <w15:chartTrackingRefBased/>
  <w15:docId w15:val="{394E68C3-CCFE-4191-A99E-1A58DF47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6E"/>
    <w:pPr>
      <w:ind w:left="720"/>
      <w:contextualSpacing/>
    </w:pPr>
  </w:style>
  <w:style w:type="character" w:styleId="Hyperlink">
    <w:name w:val="Hyperlink"/>
    <w:basedOn w:val="DefaultParagraphFont"/>
    <w:uiPriority w:val="99"/>
    <w:unhideWhenUsed/>
    <w:rsid w:val="00DE1E55"/>
    <w:rPr>
      <w:color w:val="0563C1" w:themeColor="hyperlink"/>
      <w:u w:val="single"/>
    </w:rPr>
  </w:style>
  <w:style w:type="character" w:styleId="CommentReference">
    <w:name w:val="annotation reference"/>
    <w:basedOn w:val="DefaultParagraphFont"/>
    <w:uiPriority w:val="99"/>
    <w:semiHidden/>
    <w:unhideWhenUsed/>
    <w:rsid w:val="00F44A84"/>
    <w:rPr>
      <w:sz w:val="16"/>
      <w:szCs w:val="16"/>
    </w:rPr>
  </w:style>
  <w:style w:type="paragraph" w:styleId="CommentText">
    <w:name w:val="annotation text"/>
    <w:basedOn w:val="Normal"/>
    <w:link w:val="CommentTextChar"/>
    <w:uiPriority w:val="99"/>
    <w:semiHidden/>
    <w:unhideWhenUsed/>
    <w:rsid w:val="00F44A84"/>
    <w:pPr>
      <w:spacing w:line="240" w:lineRule="auto"/>
    </w:pPr>
    <w:rPr>
      <w:sz w:val="20"/>
      <w:szCs w:val="20"/>
    </w:rPr>
  </w:style>
  <w:style w:type="character" w:customStyle="1" w:styleId="CommentTextChar">
    <w:name w:val="Comment Text Char"/>
    <w:basedOn w:val="DefaultParagraphFont"/>
    <w:link w:val="CommentText"/>
    <w:uiPriority w:val="99"/>
    <w:semiHidden/>
    <w:rsid w:val="00F44A84"/>
    <w:rPr>
      <w:sz w:val="20"/>
      <w:szCs w:val="20"/>
    </w:rPr>
  </w:style>
  <w:style w:type="paragraph" w:styleId="CommentSubject">
    <w:name w:val="annotation subject"/>
    <w:basedOn w:val="CommentText"/>
    <w:next w:val="CommentText"/>
    <w:link w:val="CommentSubjectChar"/>
    <w:uiPriority w:val="99"/>
    <w:semiHidden/>
    <w:unhideWhenUsed/>
    <w:rsid w:val="00F44A84"/>
    <w:rPr>
      <w:b/>
      <w:bCs/>
    </w:rPr>
  </w:style>
  <w:style w:type="character" w:customStyle="1" w:styleId="CommentSubjectChar">
    <w:name w:val="Comment Subject Char"/>
    <w:basedOn w:val="CommentTextChar"/>
    <w:link w:val="CommentSubject"/>
    <w:uiPriority w:val="99"/>
    <w:semiHidden/>
    <w:rsid w:val="00F44A84"/>
    <w:rPr>
      <w:b/>
      <w:bCs/>
      <w:sz w:val="20"/>
      <w:szCs w:val="20"/>
    </w:rPr>
  </w:style>
  <w:style w:type="paragraph" w:styleId="BalloonText">
    <w:name w:val="Balloon Text"/>
    <w:basedOn w:val="Normal"/>
    <w:link w:val="BalloonTextChar"/>
    <w:uiPriority w:val="99"/>
    <w:semiHidden/>
    <w:unhideWhenUsed/>
    <w:rsid w:val="00F44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84"/>
    <w:rPr>
      <w:rFonts w:ascii="Segoe UI" w:hAnsi="Segoe UI" w:cs="Segoe UI"/>
      <w:sz w:val="18"/>
      <w:szCs w:val="18"/>
    </w:rPr>
  </w:style>
  <w:style w:type="paragraph" w:styleId="Header">
    <w:name w:val="header"/>
    <w:basedOn w:val="Normal"/>
    <w:link w:val="HeaderChar"/>
    <w:uiPriority w:val="99"/>
    <w:unhideWhenUsed/>
    <w:rsid w:val="001B4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208"/>
  </w:style>
  <w:style w:type="paragraph" w:styleId="Footer">
    <w:name w:val="footer"/>
    <w:basedOn w:val="Normal"/>
    <w:link w:val="FooterChar"/>
    <w:uiPriority w:val="99"/>
    <w:unhideWhenUsed/>
    <w:rsid w:val="001B4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208"/>
  </w:style>
  <w:style w:type="character" w:customStyle="1" w:styleId="UnresolvedMention1">
    <w:name w:val="Unresolved Mention1"/>
    <w:basedOn w:val="DefaultParagraphFont"/>
    <w:uiPriority w:val="99"/>
    <w:semiHidden/>
    <w:unhideWhenUsed/>
    <w:rsid w:val="00B81A5E"/>
    <w:rPr>
      <w:color w:val="605E5C"/>
      <w:shd w:val="clear" w:color="auto" w:fill="E1DFDD"/>
    </w:rPr>
  </w:style>
  <w:style w:type="character" w:customStyle="1" w:styleId="UnresolvedMention2">
    <w:name w:val="Unresolved Mention2"/>
    <w:basedOn w:val="DefaultParagraphFont"/>
    <w:uiPriority w:val="99"/>
    <w:semiHidden/>
    <w:unhideWhenUsed/>
    <w:rsid w:val="007332AA"/>
    <w:rPr>
      <w:color w:val="808080"/>
      <w:shd w:val="clear" w:color="auto" w:fill="E6E6E6"/>
    </w:rPr>
  </w:style>
  <w:style w:type="paragraph" w:styleId="Revision">
    <w:name w:val="Revision"/>
    <w:hidden/>
    <w:uiPriority w:val="99"/>
    <w:semiHidden/>
    <w:rsid w:val="002A41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00416">
      <w:bodyDiv w:val="1"/>
      <w:marLeft w:val="0"/>
      <w:marRight w:val="0"/>
      <w:marTop w:val="0"/>
      <w:marBottom w:val="0"/>
      <w:divBdr>
        <w:top w:val="none" w:sz="0" w:space="0" w:color="auto"/>
        <w:left w:val="none" w:sz="0" w:space="0" w:color="auto"/>
        <w:bottom w:val="none" w:sz="0" w:space="0" w:color="auto"/>
        <w:right w:val="none" w:sz="0" w:space="0" w:color="auto"/>
      </w:divBdr>
    </w:div>
    <w:div w:id="385685022">
      <w:bodyDiv w:val="1"/>
      <w:marLeft w:val="0"/>
      <w:marRight w:val="0"/>
      <w:marTop w:val="0"/>
      <w:marBottom w:val="0"/>
      <w:divBdr>
        <w:top w:val="none" w:sz="0" w:space="0" w:color="auto"/>
        <w:left w:val="none" w:sz="0" w:space="0" w:color="auto"/>
        <w:bottom w:val="none" w:sz="0" w:space="0" w:color="auto"/>
        <w:right w:val="none" w:sz="0" w:space="0" w:color="auto"/>
      </w:divBdr>
    </w:div>
    <w:div w:id="903174734">
      <w:bodyDiv w:val="1"/>
      <w:marLeft w:val="0"/>
      <w:marRight w:val="0"/>
      <w:marTop w:val="0"/>
      <w:marBottom w:val="0"/>
      <w:divBdr>
        <w:top w:val="none" w:sz="0" w:space="0" w:color="auto"/>
        <w:left w:val="none" w:sz="0" w:space="0" w:color="auto"/>
        <w:bottom w:val="none" w:sz="0" w:space="0" w:color="auto"/>
        <w:right w:val="none" w:sz="0" w:space="0" w:color="auto"/>
      </w:divBdr>
    </w:div>
    <w:div w:id="1014066131">
      <w:bodyDiv w:val="1"/>
      <w:marLeft w:val="0"/>
      <w:marRight w:val="0"/>
      <w:marTop w:val="0"/>
      <w:marBottom w:val="0"/>
      <w:divBdr>
        <w:top w:val="none" w:sz="0" w:space="0" w:color="auto"/>
        <w:left w:val="none" w:sz="0" w:space="0" w:color="auto"/>
        <w:bottom w:val="none" w:sz="0" w:space="0" w:color="auto"/>
        <w:right w:val="none" w:sz="0" w:space="0" w:color="auto"/>
      </w:divBdr>
    </w:div>
    <w:div w:id="1098210393">
      <w:bodyDiv w:val="1"/>
      <w:marLeft w:val="0"/>
      <w:marRight w:val="0"/>
      <w:marTop w:val="0"/>
      <w:marBottom w:val="0"/>
      <w:divBdr>
        <w:top w:val="none" w:sz="0" w:space="0" w:color="auto"/>
        <w:left w:val="none" w:sz="0" w:space="0" w:color="auto"/>
        <w:bottom w:val="none" w:sz="0" w:space="0" w:color="auto"/>
        <w:right w:val="none" w:sz="0" w:space="0" w:color="auto"/>
      </w:divBdr>
    </w:div>
    <w:div w:id="1242181229">
      <w:bodyDiv w:val="1"/>
      <w:marLeft w:val="0"/>
      <w:marRight w:val="0"/>
      <w:marTop w:val="0"/>
      <w:marBottom w:val="0"/>
      <w:divBdr>
        <w:top w:val="none" w:sz="0" w:space="0" w:color="auto"/>
        <w:left w:val="none" w:sz="0" w:space="0" w:color="auto"/>
        <w:bottom w:val="none" w:sz="0" w:space="0" w:color="auto"/>
        <w:right w:val="none" w:sz="0" w:space="0" w:color="auto"/>
      </w:divBdr>
    </w:div>
    <w:div w:id="1283654974">
      <w:bodyDiv w:val="1"/>
      <w:marLeft w:val="0"/>
      <w:marRight w:val="0"/>
      <w:marTop w:val="0"/>
      <w:marBottom w:val="0"/>
      <w:divBdr>
        <w:top w:val="none" w:sz="0" w:space="0" w:color="auto"/>
        <w:left w:val="none" w:sz="0" w:space="0" w:color="auto"/>
        <w:bottom w:val="none" w:sz="0" w:space="0" w:color="auto"/>
        <w:right w:val="none" w:sz="0" w:space="0" w:color="auto"/>
      </w:divBdr>
    </w:div>
    <w:div w:id="1750301588">
      <w:bodyDiv w:val="1"/>
      <w:marLeft w:val="0"/>
      <w:marRight w:val="0"/>
      <w:marTop w:val="0"/>
      <w:marBottom w:val="0"/>
      <w:divBdr>
        <w:top w:val="none" w:sz="0" w:space="0" w:color="auto"/>
        <w:left w:val="none" w:sz="0" w:space="0" w:color="auto"/>
        <w:bottom w:val="none" w:sz="0" w:space="0" w:color="auto"/>
        <w:right w:val="none" w:sz="0" w:space="0" w:color="auto"/>
      </w:divBdr>
    </w:div>
    <w:div w:id="1751610816">
      <w:bodyDiv w:val="1"/>
      <w:marLeft w:val="0"/>
      <w:marRight w:val="0"/>
      <w:marTop w:val="0"/>
      <w:marBottom w:val="0"/>
      <w:divBdr>
        <w:top w:val="none" w:sz="0" w:space="0" w:color="auto"/>
        <w:left w:val="none" w:sz="0" w:space="0" w:color="auto"/>
        <w:bottom w:val="none" w:sz="0" w:space="0" w:color="auto"/>
        <w:right w:val="none" w:sz="0" w:space="0" w:color="auto"/>
      </w:divBdr>
    </w:div>
    <w:div w:id="1832677206">
      <w:bodyDiv w:val="1"/>
      <w:marLeft w:val="0"/>
      <w:marRight w:val="0"/>
      <w:marTop w:val="0"/>
      <w:marBottom w:val="0"/>
      <w:divBdr>
        <w:top w:val="none" w:sz="0" w:space="0" w:color="auto"/>
        <w:left w:val="none" w:sz="0" w:space="0" w:color="auto"/>
        <w:bottom w:val="none" w:sz="0" w:space="0" w:color="auto"/>
        <w:right w:val="none" w:sz="0" w:space="0" w:color="auto"/>
      </w:divBdr>
    </w:div>
    <w:div w:id="1999652952">
      <w:bodyDiv w:val="1"/>
      <w:marLeft w:val="0"/>
      <w:marRight w:val="0"/>
      <w:marTop w:val="0"/>
      <w:marBottom w:val="0"/>
      <w:divBdr>
        <w:top w:val="none" w:sz="0" w:space="0" w:color="auto"/>
        <w:left w:val="none" w:sz="0" w:space="0" w:color="auto"/>
        <w:bottom w:val="none" w:sz="0" w:space="0" w:color="auto"/>
        <w:right w:val="none" w:sz="0" w:space="0" w:color="auto"/>
      </w:divBdr>
    </w:div>
    <w:div w:id="20631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slature.idaho.gov/sessioninfo/billbookmark/?yr=2020&amp;bn=H035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aidReimTeam@dhw.idaho.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9427B171131A408286D76BFB7956B0" ma:contentTypeVersion="12" ma:contentTypeDescription="Create a new document." ma:contentTypeScope="" ma:versionID="0a01feeaeddd93047a40eed70b67fc26">
  <xsd:schema xmlns:xsd="http://www.w3.org/2001/XMLSchema" xmlns:xs="http://www.w3.org/2001/XMLSchema" xmlns:p="http://schemas.microsoft.com/office/2006/metadata/properties" xmlns:ns1="http://schemas.microsoft.com/sharepoint/v3" xmlns:ns3="856f04dc-4b86-4334-bb1a-2c50e6c9f59e" xmlns:ns4="8e20859c-0779-4027-abaf-9d04f141f9ee" targetNamespace="http://schemas.microsoft.com/office/2006/metadata/properties" ma:root="true" ma:fieldsID="6dc0453f68e5cd1cdfebf89907887a87" ns1:_="" ns3:_="" ns4:_="">
    <xsd:import namespace="http://schemas.microsoft.com/sharepoint/v3"/>
    <xsd:import namespace="856f04dc-4b86-4334-bb1a-2c50e6c9f59e"/>
    <xsd:import namespace="8e20859c-0779-4027-abaf-9d04f141f9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f04dc-4b86-4334-bb1a-2c50e6c9f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0859c-0779-4027-abaf-9d04f141f9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511A6-31B4-44DF-99E3-9E90BA78F028}">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e20859c-0779-4027-abaf-9d04f141f9ee"/>
    <ds:schemaRef ds:uri="http://purl.org/dc/elements/1.1/"/>
    <ds:schemaRef ds:uri="856f04dc-4b86-4334-bb1a-2c50e6c9f59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6BD939-796E-45F3-AEE8-4EF5284645E2}">
  <ds:schemaRefs>
    <ds:schemaRef ds:uri="http://schemas.openxmlformats.org/officeDocument/2006/bibliography"/>
  </ds:schemaRefs>
</ds:datastoreItem>
</file>

<file path=customXml/itemProps3.xml><?xml version="1.0" encoding="utf-8"?>
<ds:datastoreItem xmlns:ds="http://schemas.openxmlformats.org/officeDocument/2006/customXml" ds:itemID="{5041A453-FEBD-42C1-86A5-EDB5FFE28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6f04dc-4b86-4334-bb1a-2c50e6c9f59e"/>
    <ds:schemaRef ds:uri="8e20859c-0779-4027-abaf-9d04f141f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370A5-F256-4236-B7F5-E0A22A4A7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MSLC</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Townsend</dc:creator>
  <cp:keywords/>
  <dc:description/>
  <cp:lastModifiedBy>Nancy Johnson</cp:lastModifiedBy>
  <cp:revision>2</cp:revision>
  <cp:lastPrinted>2022-03-21T21:14:00Z</cp:lastPrinted>
  <dcterms:created xsi:type="dcterms:W3CDTF">2024-09-20T15:07:00Z</dcterms:created>
  <dcterms:modified xsi:type="dcterms:W3CDTF">2024-09-20T15:07:00Z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0x010100769427B171131A408286D76BFB7956B0</vt:lpwstr>
  </property>
</Properties>
</file>